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4B044" w14:textId="77777777" w:rsidR="004313BF" w:rsidRPr="004313BF" w:rsidRDefault="004313BF" w:rsidP="004313BF">
      <w:pPr>
        <w:pStyle w:val="Hlavikabezznakukrajskad"/>
        <w:outlineLvl w:val="0"/>
        <w:rPr>
          <w:rFonts w:ascii="Arial" w:hAnsi="Arial" w:cs="Arial"/>
          <w:sz w:val="28"/>
          <w:szCs w:val="28"/>
        </w:rPr>
      </w:pPr>
      <w:r w:rsidRPr="004313BF">
        <w:rPr>
          <w:rFonts w:ascii="Arial" w:hAnsi="Arial" w:cs="Arial"/>
          <w:sz w:val="28"/>
          <w:szCs w:val="28"/>
        </w:rPr>
        <w:t>Krajský úřad Olomouckého kraje</w:t>
      </w:r>
    </w:p>
    <w:p w14:paraId="5F8AE988" w14:textId="77777777" w:rsidR="004313BF" w:rsidRPr="004313BF" w:rsidRDefault="004313BF" w:rsidP="004313BF">
      <w:pPr>
        <w:pStyle w:val="Hlavikabezznakuodbor"/>
        <w:rPr>
          <w:rFonts w:ascii="Arial" w:hAnsi="Arial" w:cs="Arial"/>
          <w:sz w:val="28"/>
          <w:szCs w:val="28"/>
        </w:rPr>
      </w:pPr>
      <w:r w:rsidRPr="004313BF">
        <w:rPr>
          <w:rFonts w:ascii="Arial" w:hAnsi="Arial" w:cs="Arial"/>
          <w:sz w:val="28"/>
          <w:szCs w:val="28"/>
        </w:rPr>
        <w:t>Odbor životního prostředí a zemědělství</w:t>
      </w:r>
    </w:p>
    <w:p w14:paraId="6F2DF586" w14:textId="77777777" w:rsidR="004313BF" w:rsidRPr="004313BF" w:rsidRDefault="004313BF" w:rsidP="004313BF">
      <w:pPr>
        <w:pStyle w:val="Hlavikabezznakuadresa"/>
        <w:rPr>
          <w:rFonts w:ascii="Arial" w:hAnsi="Arial" w:cs="Arial"/>
          <w:sz w:val="28"/>
          <w:szCs w:val="28"/>
        </w:rPr>
      </w:pPr>
      <w:r w:rsidRPr="004313BF">
        <w:rPr>
          <w:rFonts w:ascii="Arial" w:hAnsi="Arial" w:cs="Arial"/>
          <w:sz w:val="28"/>
          <w:szCs w:val="28"/>
        </w:rPr>
        <w:t>Jeremenkova 40a, 779 00 Olomouc</w:t>
      </w:r>
    </w:p>
    <w:p w14:paraId="5130FDD4" w14:textId="715495FC" w:rsidR="004313BF" w:rsidRPr="004313BF" w:rsidRDefault="004313BF" w:rsidP="004313BF">
      <w:pPr>
        <w:pStyle w:val="Hlavikabezznakuj"/>
        <w:tabs>
          <w:tab w:val="left" w:pos="708"/>
        </w:tabs>
        <w:spacing w:after="0"/>
        <w:rPr>
          <w:rFonts w:ascii="Arial" w:hAnsi="Arial" w:cs="Arial"/>
          <w:sz w:val="24"/>
          <w:szCs w:val="24"/>
        </w:rPr>
      </w:pPr>
      <w:r w:rsidRPr="004313BF">
        <w:rPr>
          <w:rFonts w:ascii="Arial" w:hAnsi="Arial" w:cs="Arial"/>
          <w:sz w:val="24"/>
          <w:szCs w:val="24"/>
        </w:rPr>
        <w:t xml:space="preserve">č.j.: </w:t>
      </w:r>
      <w:r w:rsidR="00E07BC1" w:rsidRPr="00160A69">
        <w:rPr>
          <w:rFonts w:ascii="Arial" w:hAnsi="Arial" w:cs="Arial"/>
          <w:sz w:val="24"/>
          <w:szCs w:val="24"/>
        </w:rPr>
        <w:t>KUOK 119765/2020</w:t>
      </w:r>
      <w:r w:rsidRPr="004313BF">
        <w:rPr>
          <w:rFonts w:ascii="Arial" w:hAnsi="Arial" w:cs="Arial"/>
          <w:sz w:val="24"/>
          <w:szCs w:val="24"/>
        </w:rPr>
        <w:tab/>
        <w:t xml:space="preserve">V Olomouci dne </w:t>
      </w:r>
      <w:r w:rsidR="00F42473" w:rsidRPr="00F42473">
        <w:rPr>
          <w:rFonts w:ascii="Arial" w:hAnsi="Arial" w:cs="Arial"/>
          <w:sz w:val="24"/>
          <w:szCs w:val="24"/>
        </w:rPr>
        <w:t>11</w:t>
      </w:r>
      <w:r w:rsidR="00E07BC1" w:rsidRPr="00F42473">
        <w:rPr>
          <w:rFonts w:ascii="Arial" w:hAnsi="Arial" w:cs="Arial"/>
          <w:sz w:val="24"/>
          <w:szCs w:val="24"/>
        </w:rPr>
        <w:t>.11</w:t>
      </w:r>
      <w:r w:rsidRPr="00F42473">
        <w:rPr>
          <w:rFonts w:ascii="Arial" w:hAnsi="Arial" w:cs="Arial"/>
          <w:sz w:val="24"/>
          <w:szCs w:val="24"/>
        </w:rPr>
        <w:t xml:space="preserve">. 2020    </w:t>
      </w:r>
    </w:p>
    <w:p w14:paraId="5F869A6F" w14:textId="77777777" w:rsidR="004313BF" w:rsidRPr="004313BF" w:rsidRDefault="004313BF" w:rsidP="004313BF">
      <w:pPr>
        <w:pStyle w:val="Hlavikabezznakuj"/>
        <w:tabs>
          <w:tab w:val="left" w:pos="1440"/>
          <w:tab w:val="left" w:pos="2880"/>
          <w:tab w:val="right" w:pos="9540"/>
        </w:tabs>
        <w:spacing w:after="0"/>
        <w:ind w:right="98"/>
        <w:rPr>
          <w:rFonts w:ascii="Arial" w:hAnsi="Arial" w:cs="Arial"/>
          <w:color w:val="FF0000"/>
          <w:sz w:val="24"/>
          <w:szCs w:val="24"/>
        </w:rPr>
      </w:pPr>
      <w:proofErr w:type="spellStart"/>
      <w:r w:rsidRPr="004313BF">
        <w:rPr>
          <w:rFonts w:ascii="Arial" w:hAnsi="Arial" w:cs="Arial"/>
          <w:sz w:val="24"/>
          <w:szCs w:val="24"/>
        </w:rPr>
        <w:t>Sp.Zn</w:t>
      </w:r>
      <w:proofErr w:type="spellEnd"/>
      <w:r w:rsidRPr="004313BF">
        <w:rPr>
          <w:rFonts w:ascii="Arial" w:hAnsi="Arial" w:cs="Arial"/>
          <w:sz w:val="24"/>
          <w:szCs w:val="24"/>
        </w:rPr>
        <w:t xml:space="preserve">.: </w:t>
      </w:r>
      <w:r w:rsidR="00E07BC1" w:rsidRPr="00160A69">
        <w:rPr>
          <w:rFonts w:ascii="Arial" w:hAnsi="Arial" w:cs="Arial"/>
          <w:sz w:val="24"/>
          <w:szCs w:val="24"/>
        </w:rPr>
        <w:t>KÚOK/118927/2020/OŽPZ/414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0"/>
        <w:gridCol w:w="3642"/>
      </w:tblGrid>
      <w:tr w:rsidR="004313BF" w:rsidRPr="004313BF" w14:paraId="6E8EFE0D" w14:textId="77777777" w:rsidTr="00943068">
        <w:tc>
          <w:tcPr>
            <w:tcW w:w="5830" w:type="dxa"/>
            <w:hideMark/>
          </w:tcPr>
          <w:p w14:paraId="49DF8E28" w14:textId="77777777" w:rsidR="004313BF" w:rsidRPr="004313BF" w:rsidRDefault="004313BF" w:rsidP="00943068">
            <w:pPr>
              <w:pStyle w:val="Hlavikaadresapjemce"/>
              <w:spacing w:before="0" w:after="0" w:line="276" w:lineRule="auto"/>
              <w:rPr>
                <w:rFonts w:ascii="Arial" w:hAnsi="Arial" w:cs="Arial"/>
                <w:szCs w:val="24"/>
                <w:lang w:eastAsia="en-US"/>
              </w:rPr>
            </w:pPr>
            <w:r w:rsidRPr="004313BF">
              <w:rPr>
                <w:rFonts w:ascii="Arial" w:hAnsi="Arial" w:cs="Arial"/>
                <w:szCs w:val="24"/>
                <w:lang w:eastAsia="en-US"/>
              </w:rPr>
              <w:t xml:space="preserve">vyřizuje: Ing. Simona Kladrobová            </w:t>
            </w:r>
            <w:r w:rsidRPr="004313BF">
              <w:rPr>
                <w:rFonts w:ascii="Arial" w:hAnsi="Arial" w:cs="Arial"/>
                <w:szCs w:val="24"/>
                <w:lang w:eastAsia="en-US"/>
              </w:rPr>
              <w:tab/>
            </w:r>
          </w:p>
          <w:p w14:paraId="205D7BB6" w14:textId="77777777" w:rsidR="004313BF" w:rsidRPr="004313BF" w:rsidRDefault="004313BF" w:rsidP="00943068">
            <w:pPr>
              <w:pStyle w:val="Hlavikaadresapjemce"/>
              <w:spacing w:before="0" w:after="0" w:line="276" w:lineRule="auto"/>
              <w:rPr>
                <w:rFonts w:ascii="Arial" w:hAnsi="Arial" w:cs="Arial"/>
                <w:szCs w:val="24"/>
                <w:lang w:eastAsia="en-US"/>
              </w:rPr>
            </w:pPr>
            <w:r w:rsidRPr="004313BF">
              <w:rPr>
                <w:rFonts w:ascii="Arial" w:hAnsi="Arial" w:cs="Arial"/>
                <w:szCs w:val="24"/>
                <w:lang w:eastAsia="en-US"/>
              </w:rPr>
              <w:t>tel.: 585 508 670</w:t>
            </w:r>
          </w:p>
          <w:p w14:paraId="3D5FAD2A" w14:textId="77777777" w:rsidR="004313BF" w:rsidRPr="004313BF" w:rsidRDefault="004313BF" w:rsidP="00943068">
            <w:pPr>
              <w:pStyle w:val="Hlavikaadresa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13BF">
              <w:rPr>
                <w:rFonts w:ascii="Arial" w:hAnsi="Arial" w:cs="Arial"/>
                <w:sz w:val="24"/>
                <w:szCs w:val="24"/>
                <w:lang w:eastAsia="en-US"/>
              </w:rPr>
              <w:t xml:space="preserve">datová schránka: </w:t>
            </w:r>
            <w:proofErr w:type="spellStart"/>
            <w:r w:rsidRPr="004313BF">
              <w:rPr>
                <w:rFonts w:ascii="Arial" w:hAnsi="Arial" w:cs="Arial"/>
                <w:sz w:val="24"/>
                <w:szCs w:val="24"/>
                <w:lang w:eastAsia="en-US"/>
              </w:rPr>
              <w:t>qiabfmf</w:t>
            </w:r>
            <w:proofErr w:type="spellEnd"/>
          </w:p>
          <w:p w14:paraId="1A82F901" w14:textId="77777777" w:rsidR="004313BF" w:rsidRPr="004313BF" w:rsidRDefault="004313BF" w:rsidP="00943068">
            <w:pPr>
              <w:pStyle w:val="Hlavikaadresa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13BF">
              <w:rPr>
                <w:rFonts w:ascii="Arial" w:hAnsi="Arial" w:cs="Arial"/>
                <w:sz w:val="24"/>
                <w:szCs w:val="24"/>
                <w:lang w:eastAsia="en-US"/>
              </w:rPr>
              <w:t xml:space="preserve">e-mail: </w:t>
            </w:r>
            <w:hyperlink r:id="rId7" w:history="1">
              <w:r w:rsidRPr="004313BF">
                <w:rPr>
                  <w:rStyle w:val="Hypertextovodkaz"/>
                  <w:rFonts w:ascii="Arial" w:hAnsi="Arial" w:cs="Arial"/>
                  <w:sz w:val="24"/>
                  <w:szCs w:val="24"/>
                  <w:lang w:eastAsia="en-US"/>
                </w:rPr>
                <w:t>s.kladrobova@olkraj.cz</w:t>
              </w:r>
            </w:hyperlink>
          </w:p>
          <w:p w14:paraId="2D975F8D" w14:textId="02D94370" w:rsidR="004313BF" w:rsidRPr="004313BF" w:rsidRDefault="004313BF" w:rsidP="00943068">
            <w:pPr>
              <w:spacing w:line="276" w:lineRule="auto"/>
              <w:rPr>
                <w:rFonts w:ascii="Arial" w:hAnsi="Arial" w:cs="Arial"/>
                <w:szCs w:val="24"/>
                <w:lang w:eastAsia="en-US"/>
              </w:rPr>
            </w:pPr>
            <w:r w:rsidRPr="004313BF">
              <w:rPr>
                <w:rFonts w:ascii="Arial" w:hAnsi="Arial" w:cs="Arial"/>
                <w:szCs w:val="24"/>
                <w:lang w:eastAsia="en-US"/>
              </w:rPr>
              <w:t xml:space="preserve">Počet listů: </w:t>
            </w:r>
            <w:r w:rsidR="00F42473">
              <w:rPr>
                <w:rFonts w:ascii="Arial" w:hAnsi="Arial" w:cs="Arial"/>
                <w:szCs w:val="24"/>
                <w:lang w:eastAsia="en-US"/>
              </w:rPr>
              <w:t>6</w:t>
            </w:r>
          </w:p>
          <w:p w14:paraId="233962F1" w14:textId="77B5B234" w:rsidR="004313BF" w:rsidRPr="004313BF" w:rsidRDefault="004313BF" w:rsidP="00943068">
            <w:pPr>
              <w:spacing w:line="276" w:lineRule="auto"/>
              <w:rPr>
                <w:rFonts w:ascii="Arial" w:hAnsi="Arial" w:cs="Arial"/>
                <w:szCs w:val="24"/>
                <w:lang w:eastAsia="en-US"/>
              </w:rPr>
            </w:pPr>
            <w:r w:rsidRPr="004313BF">
              <w:rPr>
                <w:rFonts w:ascii="Arial" w:hAnsi="Arial" w:cs="Arial"/>
                <w:szCs w:val="24"/>
                <w:lang w:eastAsia="en-US"/>
              </w:rPr>
              <w:t xml:space="preserve">Počet příloh: </w:t>
            </w:r>
            <w:r w:rsidR="007B209F" w:rsidRPr="007B209F">
              <w:rPr>
                <w:rFonts w:ascii="Arial" w:hAnsi="Arial" w:cs="Arial"/>
                <w:szCs w:val="24"/>
                <w:lang w:eastAsia="en-US"/>
              </w:rPr>
              <w:t>0</w:t>
            </w:r>
          </w:p>
          <w:p w14:paraId="6B956C4C" w14:textId="759F84CF" w:rsidR="004313BF" w:rsidRPr="004313BF" w:rsidRDefault="004313BF" w:rsidP="00943068">
            <w:pPr>
              <w:pStyle w:val="Hlavikabezznakuvyizuje"/>
              <w:spacing w:after="0" w:line="276" w:lineRule="auto"/>
              <w:rPr>
                <w:rFonts w:ascii="Arial" w:hAnsi="Arial" w:cs="Arial"/>
                <w:szCs w:val="24"/>
                <w:lang w:eastAsia="en-US"/>
              </w:rPr>
            </w:pPr>
            <w:r w:rsidRPr="004313BF">
              <w:rPr>
                <w:rFonts w:ascii="Arial" w:hAnsi="Arial" w:cs="Arial"/>
                <w:szCs w:val="24"/>
                <w:lang w:eastAsia="en-US"/>
              </w:rPr>
              <w:t xml:space="preserve">Počet svazků příloh: </w:t>
            </w:r>
            <w:r w:rsidR="007B209F" w:rsidRPr="007B209F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3948" w:type="dxa"/>
            <w:hideMark/>
          </w:tcPr>
          <w:p w14:paraId="5E689B04" w14:textId="77777777" w:rsidR="004313BF" w:rsidRPr="004313BF" w:rsidRDefault="004313BF" w:rsidP="00943068">
            <w:pPr>
              <w:pStyle w:val="Adresapjemce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rPr>
                <w:rFonts w:ascii="Arial" w:hAnsi="Arial" w:cs="Arial"/>
                <w:szCs w:val="24"/>
                <w:lang w:eastAsia="en-US"/>
              </w:rPr>
            </w:pPr>
            <w:r w:rsidRPr="004313BF">
              <w:rPr>
                <w:rFonts w:ascii="Arial" w:hAnsi="Arial" w:cs="Arial"/>
                <w:szCs w:val="24"/>
                <w:lang w:eastAsia="en-US"/>
              </w:rPr>
              <w:t xml:space="preserve">             </w:t>
            </w:r>
          </w:p>
          <w:p w14:paraId="6E0FC895" w14:textId="77777777" w:rsidR="004313BF" w:rsidRPr="004313BF" w:rsidRDefault="004313BF" w:rsidP="00943068">
            <w:pPr>
              <w:pStyle w:val="Adresapjemce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rPr>
                <w:rFonts w:ascii="Arial" w:hAnsi="Arial" w:cs="Arial"/>
                <w:szCs w:val="24"/>
                <w:lang w:eastAsia="en-US"/>
              </w:rPr>
            </w:pPr>
            <w:r w:rsidRPr="004313BF">
              <w:rPr>
                <w:rFonts w:ascii="Arial" w:hAnsi="Arial" w:cs="Arial"/>
                <w:szCs w:val="24"/>
                <w:lang w:eastAsia="en-US"/>
              </w:rPr>
              <w:t xml:space="preserve">             Dle rozdělovníku</w:t>
            </w:r>
          </w:p>
        </w:tc>
      </w:tr>
    </w:tbl>
    <w:p w14:paraId="7EB537B9" w14:textId="77777777" w:rsidR="00991FA9" w:rsidRPr="004313BF" w:rsidRDefault="00991FA9">
      <w:pPr>
        <w:rPr>
          <w:rFonts w:ascii="Arial" w:hAnsi="Arial" w:cs="Arial"/>
        </w:rPr>
      </w:pPr>
    </w:p>
    <w:p w14:paraId="68D75F8E" w14:textId="77777777" w:rsidR="007674F0" w:rsidRPr="007674F0" w:rsidRDefault="007674F0" w:rsidP="0002478E">
      <w:pPr>
        <w:jc w:val="center"/>
        <w:rPr>
          <w:rFonts w:ascii="Arial" w:hAnsi="Arial" w:cs="Arial"/>
          <w:b/>
          <w:bCs/>
        </w:rPr>
      </w:pPr>
    </w:p>
    <w:p w14:paraId="233BDCAA" w14:textId="6B0A36DE" w:rsidR="0002478E" w:rsidRPr="0002478E" w:rsidRDefault="007674F0" w:rsidP="0002478E">
      <w:pPr>
        <w:jc w:val="center"/>
        <w:rPr>
          <w:rFonts w:ascii="Arial" w:hAnsi="Arial" w:cs="Arial"/>
          <w:b/>
          <w:bCs/>
          <w:u w:val="single"/>
        </w:rPr>
      </w:pPr>
      <w:r w:rsidRPr="0002478E">
        <w:rPr>
          <w:rFonts w:ascii="Arial" w:hAnsi="Arial" w:cs="Arial"/>
          <w:b/>
          <w:bCs/>
          <w:u w:val="single"/>
        </w:rPr>
        <w:t xml:space="preserve">PRODLOUŽENÍ PLATNOSTI STANOVISKA K POSOUZENÍ VLIVŮ PROVEDENÍ ZÁMĚRU NA ŽIVOTNÍ PROSTŘEDÍ </w:t>
      </w:r>
    </w:p>
    <w:p w14:paraId="01E7C93B" w14:textId="77777777" w:rsidR="0002478E" w:rsidRDefault="0002478E" w:rsidP="0002478E">
      <w:pPr>
        <w:jc w:val="center"/>
        <w:rPr>
          <w:rFonts w:ascii="Arial" w:hAnsi="Arial" w:cs="Arial"/>
        </w:rPr>
      </w:pPr>
    </w:p>
    <w:p w14:paraId="37F8054E" w14:textId="3E537F9C" w:rsidR="0002478E" w:rsidRPr="0002478E" w:rsidRDefault="007674F0" w:rsidP="0002478E">
      <w:pPr>
        <w:jc w:val="center"/>
        <w:rPr>
          <w:rFonts w:ascii="Arial" w:hAnsi="Arial" w:cs="Arial"/>
          <w:b/>
          <w:bCs/>
        </w:rPr>
      </w:pPr>
      <w:r w:rsidRPr="0002478E">
        <w:rPr>
          <w:rFonts w:ascii="Arial" w:hAnsi="Arial" w:cs="Arial"/>
          <w:b/>
          <w:bCs/>
        </w:rPr>
        <w:t xml:space="preserve">(vydaného pod č. j.: </w:t>
      </w:r>
      <w:r w:rsidR="0002478E" w:rsidRPr="0002478E">
        <w:rPr>
          <w:rFonts w:ascii="Arial" w:hAnsi="Arial" w:cs="Arial"/>
          <w:b/>
          <w:bCs/>
        </w:rPr>
        <w:t xml:space="preserve">KUOK 41017/2010 </w:t>
      </w:r>
      <w:r w:rsidRPr="0002478E">
        <w:rPr>
          <w:rFonts w:ascii="Arial" w:hAnsi="Arial" w:cs="Arial"/>
          <w:b/>
          <w:bCs/>
        </w:rPr>
        <w:t xml:space="preserve">dne </w:t>
      </w:r>
      <w:r w:rsidR="0002478E" w:rsidRPr="0002478E">
        <w:rPr>
          <w:rFonts w:ascii="Arial" w:hAnsi="Arial" w:cs="Arial"/>
          <w:b/>
          <w:bCs/>
        </w:rPr>
        <w:t>7</w:t>
      </w:r>
      <w:r w:rsidRPr="0002478E">
        <w:rPr>
          <w:rFonts w:ascii="Arial" w:hAnsi="Arial" w:cs="Arial"/>
          <w:b/>
          <w:bCs/>
        </w:rPr>
        <w:t>. 1</w:t>
      </w:r>
      <w:r w:rsidR="0002478E" w:rsidRPr="0002478E">
        <w:rPr>
          <w:rFonts w:ascii="Arial" w:hAnsi="Arial" w:cs="Arial"/>
          <w:b/>
          <w:bCs/>
        </w:rPr>
        <w:t>2</w:t>
      </w:r>
      <w:r w:rsidRPr="0002478E">
        <w:rPr>
          <w:rFonts w:ascii="Arial" w:hAnsi="Arial" w:cs="Arial"/>
          <w:b/>
          <w:bCs/>
        </w:rPr>
        <w:t>.</w:t>
      </w:r>
      <w:r w:rsidR="0002478E" w:rsidRPr="0002478E">
        <w:rPr>
          <w:rFonts w:ascii="Arial" w:hAnsi="Arial" w:cs="Arial"/>
          <w:b/>
          <w:bCs/>
        </w:rPr>
        <w:t xml:space="preserve"> </w:t>
      </w:r>
      <w:r w:rsidRPr="0002478E">
        <w:rPr>
          <w:rFonts w:ascii="Arial" w:hAnsi="Arial" w:cs="Arial"/>
          <w:b/>
          <w:bCs/>
        </w:rPr>
        <w:t xml:space="preserve">2010 </w:t>
      </w:r>
      <w:r w:rsidR="0002478E">
        <w:rPr>
          <w:rFonts w:ascii="Arial" w:hAnsi="Arial" w:cs="Arial"/>
          <w:b/>
          <w:bCs/>
        </w:rPr>
        <w:br/>
      </w:r>
      <w:r w:rsidRPr="0002478E">
        <w:rPr>
          <w:rFonts w:ascii="Arial" w:hAnsi="Arial" w:cs="Arial"/>
          <w:b/>
          <w:bCs/>
        </w:rPr>
        <w:t>(dále jen „stanovisko EIA“))</w:t>
      </w:r>
    </w:p>
    <w:p w14:paraId="5F0948FA" w14:textId="024182A1" w:rsidR="0002478E" w:rsidRPr="0002478E" w:rsidRDefault="0002478E" w:rsidP="0002478E">
      <w:pPr>
        <w:jc w:val="center"/>
        <w:rPr>
          <w:rFonts w:ascii="Arial" w:hAnsi="Arial" w:cs="Arial"/>
          <w:b/>
          <w:bCs/>
        </w:rPr>
      </w:pPr>
    </w:p>
    <w:p w14:paraId="263D0BDE" w14:textId="77777777" w:rsidR="0002478E" w:rsidRPr="0002478E" w:rsidRDefault="0002478E" w:rsidP="0002478E">
      <w:pPr>
        <w:jc w:val="center"/>
        <w:rPr>
          <w:rFonts w:ascii="Arial" w:hAnsi="Arial" w:cs="Arial"/>
          <w:b/>
          <w:bCs/>
        </w:rPr>
      </w:pPr>
    </w:p>
    <w:p w14:paraId="2CCF3547" w14:textId="341F832C" w:rsidR="0002478E" w:rsidRPr="0002478E" w:rsidRDefault="007674F0" w:rsidP="0002478E">
      <w:pPr>
        <w:jc w:val="center"/>
        <w:rPr>
          <w:rFonts w:ascii="Arial" w:hAnsi="Arial" w:cs="Arial"/>
          <w:b/>
          <w:bCs/>
        </w:rPr>
      </w:pPr>
      <w:r w:rsidRPr="0002478E">
        <w:rPr>
          <w:rFonts w:ascii="Arial" w:hAnsi="Arial" w:cs="Arial"/>
          <w:b/>
          <w:bCs/>
        </w:rPr>
        <w:t>podle § 9a odst. 4 zákona č. 100/2001 Sb., o posuzování vlivů na životní prostředí a o změně některých souvisejících zákonů (zákon o posuzování vlivů na životní prostředí), ve znění pozdějších předpisů (dále jen „zákon“)</w:t>
      </w:r>
    </w:p>
    <w:p w14:paraId="3466F90D" w14:textId="6D6D3725" w:rsidR="00957610" w:rsidRDefault="00957610" w:rsidP="00EC1F79">
      <w:pPr>
        <w:rPr>
          <w:rFonts w:ascii="Arial" w:hAnsi="Arial" w:cs="Arial"/>
        </w:rPr>
      </w:pPr>
    </w:p>
    <w:p w14:paraId="11E974F7" w14:textId="77777777" w:rsidR="00957610" w:rsidRDefault="00957610" w:rsidP="00EC1F79">
      <w:pPr>
        <w:rPr>
          <w:rFonts w:ascii="Arial" w:hAnsi="Arial" w:cs="Arial"/>
        </w:rPr>
      </w:pPr>
    </w:p>
    <w:p w14:paraId="2EF4C838" w14:textId="2CB974A9" w:rsidR="0002478E" w:rsidRPr="00957610" w:rsidRDefault="007674F0" w:rsidP="00957610">
      <w:pPr>
        <w:jc w:val="center"/>
        <w:rPr>
          <w:rFonts w:ascii="Arial" w:hAnsi="Arial" w:cs="Arial"/>
          <w:b/>
          <w:bCs/>
          <w:u w:val="single"/>
        </w:rPr>
      </w:pPr>
      <w:r w:rsidRPr="00957610">
        <w:rPr>
          <w:rFonts w:ascii="Arial" w:hAnsi="Arial" w:cs="Arial"/>
          <w:b/>
          <w:bCs/>
          <w:u w:val="single"/>
        </w:rPr>
        <w:t>Identifikační údaje:</w:t>
      </w:r>
    </w:p>
    <w:p w14:paraId="6309F696" w14:textId="77777777" w:rsidR="0002478E" w:rsidRDefault="0002478E" w:rsidP="00EC1F79">
      <w:pPr>
        <w:rPr>
          <w:rFonts w:ascii="Arial" w:hAnsi="Arial" w:cs="Arial"/>
        </w:rPr>
      </w:pPr>
    </w:p>
    <w:p w14:paraId="35CC040A" w14:textId="77777777" w:rsidR="00957610" w:rsidRDefault="007674F0" w:rsidP="00EC1F79">
      <w:pPr>
        <w:rPr>
          <w:rFonts w:ascii="Arial" w:hAnsi="Arial" w:cs="Arial"/>
          <w:b/>
          <w:bCs/>
          <w:i/>
          <w:iCs/>
        </w:rPr>
      </w:pPr>
      <w:r w:rsidRPr="0002478E">
        <w:rPr>
          <w:rFonts w:ascii="Arial" w:hAnsi="Arial" w:cs="Arial"/>
          <w:b/>
          <w:bCs/>
          <w:i/>
          <w:iCs/>
        </w:rPr>
        <w:t xml:space="preserve">Název záměru: </w:t>
      </w:r>
    </w:p>
    <w:p w14:paraId="68A5CD04" w14:textId="77777777" w:rsidR="00957610" w:rsidRDefault="00957610" w:rsidP="00EC1F79">
      <w:pPr>
        <w:rPr>
          <w:rFonts w:ascii="Arial" w:hAnsi="Arial" w:cs="Arial"/>
          <w:b/>
          <w:bCs/>
          <w:i/>
          <w:iCs/>
        </w:rPr>
      </w:pPr>
    </w:p>
    <w:p w14:paraId="5F2D1DA6" w14:textId="6EC3CD3F" w:rsidR="0002478E" w:rsidRPr="00957610" w:rsidRDefault="0002478E" w:rsidP="00EC1F79">
      <w:pPr>
        <w:rPr>
          <w:rFonts w:ascii="Arial" w:hAnsi="Arial" w:cs="Arial"/>
          <w:bCs/>
          <w:i/>
          <w:iCs/>
        </w:rPr>
      </w:pPr>
      <w:r w:rsidRPr="00957610">
        <w:rPr>
          <w:rFonts w:ascii="Arial" w:hAnsi="Arial" w:cs="Arial"/>
          <w:bCs/>
        </w:rPr>
        <w:t>Přeložka silnice I/46 Týneček  - Šternberk</w:t>
      </w:r>
    </w:p>
    <w:p w14:paraId="40EC4970" w14:textId="77777777" w:rsidR="0002478E" w:rsidRDefault="0002478E" w:rsidP="00EC1F79">
      <w:pPr>
        <w:rPr>
          <w:rFonts w:ascii="Arial" w:hAnsi="Arial" w:cs="Arial"/>
        </w:rPr>
      </w:pPr>
    </w:p>
    <w:p w14:paraId="755FB639" w14:textId="77777777" w:rsidR="00957610" w:rsidRDefault="007674F0" w:rsidP="0002478E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02478E">
        <w:rPr>
          <w:rFonts w:ascii="Arial" w:hAnsi="Arial" w:cs="Arial"/>
          <w:b/>
          <w:bCs/>
          <w:i/>
          <w:iCs/>
        </w:rPr>
        <w:t>Kapacita (rozsah) záměru</w:t>
      </w:r>
      <w:r w:rsidRPr="007674F0">
        <w:rPr>
          <w:rFonts w:ascii="Arial" w:hAnsi="Arial" w:cs="Arial"/>
        </w:rPr>
        <w:t xml:space="preserve">: </w:t>
      </w:r>
    </w:p>
    <w:p w14:paraId="5C1B96E1" w14:textId="3BB6F848" w:rsidR="0002478E" w:rsidRPr="00A04F46" w:rsidRDefault="0002478E" w:rsidP="0002478E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A04F46">
        <w:rPr>
          <w:rFonts w:ascii="Arial" w:hAnsi="Arial" w:cs="Arial"/>
        </w:rPr>
        <w:t xml:space="preserve">Zkapacitnění silnice I/46 v úseku Týneček – Šternberk. Přeložka je navržena jako </w:t>
      </w:r>
      <w:proofErr w:type="spellStart"/>
      <w:r w:rsidRPr="00A04F46">
        <w:rPr>
          <w:rFonts w:ascii="Arial" w:hAnsi="Arial" w:cs="Arial"/>
        </w:rPr>
        <w:t>čtyřpruhová</w:t>
      </w:r>
      <w:proofErr w:type="spellEnd"/>
      <w:r w:rsidRPr="00A04F46">
        <w:rPr>
          <w:rFonts w:ascii="Arial" w:hAnsi="Arial" w:cs="Arial"/>
        </w:rPr>
        <w:t xml:space="preserve">, směrově rozdělená komunikace se středním dělícím pásem o celkové délce </w:t>
      </w:r>
      <w:smartTag w:uri="urn:schemas-microsoft-com:office:smarttags" w:element="metricconverter">
        <w:smartTagPr>
          <w:attr w:name="ProductID" w:val="6,817 km"/>
        </w:smartTagPr>
        <w:r w:rsidRPr="00A04F46">
          <w:rPr>
            <w:rFonts w:ascii="Arial" w:hAnsi="Arial" w:cs="Arial"/>
          </w:rPr>
          <w:t>6,817 km</w:t>
        </w:r>
      </w:smartTag>
      <w:r w:rsidRPr="00A04F46">
        <w:rPr>
          <w:rFonts w:ascii="Arial" w:hAnsi="Arial" w:cs="Arial"/>
        </w:rPr>
        <w:t xml:space="preserve"> (z toho </w:t>
      </w:r>
      <w:smartTag w:uri="urn:schemas-microsoft-com:office:smarttags" w:element="metricconverter">
        <w:smartTagPr>
          <w:attr w:name="ProductID" w:val="4,005 km"/>
        </w:smartTagPr>
        <w:r w:rsidRPr="00A04F46">
          <w:rPr>
            <w:rFonts w:ascii="Arial" w:hAnsi="Arial" w:cs="Arial"/>
          </w:rPr>
          <w:t>4,005 km</w:t>
        </w:r>
      </w:smartTag>
      <w:r w:rsidRPr="00A04F46">
        <w:rPr>
          <w:rFonts w:ascii="Arial" w:hAnsi="Arial" w:cs="Arial"/>
        </w:rPr>
        <w:t xml:space="preserve"> v nové stopě). Vedena je částečně v nové trase a částečně v trase stávající silnice I/46 v prostoru mezi </w:t>
      </w:r>
      <w:proofErr w:type="spellStart"/>
      <w:r w:rsidRPr="00A04F46">
        <w:rPr>
          <w:rFonts w:ascii="Arial" w:hAnsi="Arial" w:cs="Arial"/>
        </w:rPr>
        <w:t>Týnečkem</w:t>
      </w:r>
      <w:proofErr w:type="spellEnd"/>
      <w:r w:rsidRPr="00A04F46">
        <w:rPr>
          <w:rFonts w:ascii="Arial" w:hAnsi="Arial" w:cs="Arial"/>
        </w:rPr>
        <w:t xml:space="preserve"> (severovýchodní okrajová část Olomouce) a Šternberkem. Součástí záměru jsou dvě mimoúrovňové křižovatky zajišťující napojení přeložky na stávající silniční síť. Přeložka silnice I/46 bude na jihu navazovat na plánovanou v</w:t>
      </w:r>
      <w:r w:rsidRPr="00A04F46">
        <w:rPr>
          <w:rFonts w:ascii="Arial" w:hAnsi="Arial" w:cs="Arial"/>
          <w:bCs/>
        </w:rPr>
        <w:t>ýchodní tangentu</w:t>
      </w:r>
      <w:r w:rsidRPr="00A04F46">
        <w:rPr>
          <w:rFonts w:ascii="Arial" w:hAnsi="Arial" w:cs="Arial"/>
          <w:b/>
          <w:bCs/>
        </w:rPr>
        <w:t xml:space="preserve"> </w:t>
      </w:r>
      <w:r w:rsidRPr="00A04F46">
        <w:rPr>
          <w:rFonts w:ascii="Arial" w:hAnsi="Arial" w:cs="Arial"/>
        </w:rPr>
        <w:t>města Olomouce a v severní části bude navazovat na jihovýchodní obchvat města Šternberka.</w:t>
      </w:r>
    </w:p>
    <w:p w14:paraId="0AE5F48D" w14:textId="29781580" w:rsidR="0002478E" w:rsidRDefault="0002478E" w:rsidP="00EC1F79">
      <w:pPr>
        <w:rPr>
          <w:rFonts w:ascii="Arial" w:hAnsi="Arial" w:cs="Arial"/>
        </w:rPr>
      </w:pPr>
    </w:p>
    <w:p w14:paraId="3EDD9195" w14:textId="77777777" w:rsidR="00957610" w:rsidRDefault="007674F0" w:rsidP="00EC1F79">
      <w:pPr>
        <w:rPr>
          <w:rFonts w:ascii="Arial" w:hAnsi="Arial" w:cs="Arial"/>
        </w:rPr>
      </w:pPr>
      <w:r w:rsidRPr="0002478E">
        <w:rPr>
          <w:rFonts w:ascii="Arial" w:hAnsi="Arial" w:cs="Arial"/>
          <w:b/>
          <w:bCs/>
          <w:i/>
          <w:iCs/>
        </w:rPr>
        <w:t>Umístění záměru:</w:t>
      </w:r>
      <w:r w:rsidRPr="007674F0">
        <w:rPr>
          <w:rFonts w:ascii="Arial" w:hAnsi="Arial" w:cs="Arial"/>
        </w:rPr>
        <w:t xml:space="preserve"> </w:t>
      </w:r>
      <w:r w:rsidR="0002478E">
        <w:rPr>
          <w:rFonts w:ascii="Arial" w:hAnsi="Arial" w:cs="Arial"/>
        </w:rPr>
        <w:tab/>
      </w:r>
    </w:p>
    <w:p w14:paraId="0B925E71" w14:textId="73DEA144" w:rsidR="00957610" w:rsidRDefault="0002478E" w:rsidP="00EC1F7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5715D6A" w14:textId="74E7FA5A" w:rsidR="0002478E" w:rsidRDefault="007674F0" w:rsidP="00EC1F79">
      <w:pPr>
        <w:rPr>
          <w:rFonts w:ascii="Arial" w:hAnsi="Arial" w:cs="Arial"/>
        </w:rPr>
      </w:pPr>
      <w:r w:rsidRPr="0002478E">
        <w:rPr>
          <w:rFonts w:ascii="Arial" w:hAnsi="Arial" w:cs="Arial"/>
        </w:rPr>
        <w:t>kraj:</w:t>
      </w:r>
      <w:r w:rsidR="00957610">
        <w:rPr>
          <w:rFonts w:ascii="Arial" w:hAnsi="Arial" w:cs="Arial"/>
        </w:rPr>
        <w:tab/>
      </w:r>
      <w:r w:rsidR="0002478E" w:rsidRPr="0002478E">
        <w:rPr>
          <w:rFonts w:ascii="Arial" w:hAnsi="Arial" w:cs="Arial"/>
        </w:rPr>
        <w:t>Olomoucký</w:t>
      </w:r>
    </w:p>
    <w:p w14:paraId="50B09DF6" w14:textId="4922054C" w:rsidR="00957610" w:rsidRDefault="007674F0" w:rsidP="00957610">
      <w:pPr>
        <w:rPr>
          <w:rFonts w:ascii="Arial" w:hAnsi="Arial" w:cs="Arial"/>
        </w:rPr>
      </w:pPr>
      <w:r w:rsidRPr="0002478E">
        <w:rPr>
          <w:rFonts w:ascii="Arial" w:hAnsi="Arial" w:cs="Arial"/>
        </w:rPr>
        <w:t>obec:</w:t>
      </w:r>
      <w:r w:rsidR="00957610">
        <w:rPr>
          <w:rFonts w:ascii="Arial" w:hAnsi="Arial" w:cs="Arial"/>
        </w:rPr>
        <w:tab/>
      </w:r>
      <w:r w:rsidR="0002478E" w:rsidRPr="0002478E">
        <w:rPr>
          <w:rFonts w:ascii="Arial" w:hAnsi="Arial" w:cs="Arial"/>
        </w:rPr>
        <w:t>Olomouc, Tovéř, Dolany, Bělkovice-Lašťany, Bohuňovice</w:t>
      </w:r>
    </w:p>
    <w:p w14:paraId="2A52C215" w14:textId="73817994" w:rsidR="0002478E" w:rsidRPr="0002478E" w:rsidRDefault="007674F0" w:rsidP="00957610">
      <w:pPr>
        <w:ind w:left="705" w:hanging="705"/>
        <w:rPr>
          <w:rFonts w:ascii="Arial" w:hAnsi="Arial" w:cs="Arial"/>
        </w:rPr>
      </w:pPr>
      <w:proofErr w:type="spellStart"/>
      <w:r w:rsidRPr="0002478E">
        <w:rPr>
          <w:rFonts w:ascii="Arial" w:hAnsi="Arial" w:cs="Arial"/>
        </w:rPr>
        <w:t>k.ú</w:t>
      </w:r>
      <w:proofErr w:type="spellEnd"/>
      <w:r w:rsidRPr="0002478E">
        <w:rPr>
          <w:rFonts w:ascii="Arial" w:hAnsi="Arial" w:cs="Arial"/>
        </w:rPr>
        <w:t>.:</w:t>
      </w:r>
      <w:r w:rsidR="00957610">
        <w:rPr>
          <w:rFonts w:ascii="Arial" w:hAnsi="Arial" w:cs="Arial"/>
        </w:rPr>
        <w:tab/>
      </w:r>
      <w:r w:rsidR="0002478E" w:rsidRPr="0002478E">
        <w:rPr>
          <w:rFonts w:ascii="Arial" w:hAnsi="Arial" w:cs="Arial"/>
        </w:rPr>
        <w:t>Chválkovice, Týneček, Tovéř, Dolany u Olomouce,</w:t>
      </w:r>
      <w:r w:rsidR="00957610">
        <w:rPr>
          <w:rFonts w:ascii="Arial" w:hAnsi="Arial" w:cs="Arial"/>
        </w:rPr>
        <w:t xml:space="preserve"> </w:t>
      </w:r>
      <w:r w:rsidR="0002478E" w:rsidRPr="0002478E">
        <w:rPr>
          <w:rFonts w:ascii="Arial" w:hAnsi="Arial" w:cs="Arial"/>
        </w:rPr>
        <w:t>Bělkovice, Lašťany,</w:t>
      </w:r>
      <w:r w:rsidR="00957610">
        <w:rPr>
          <w:rFonts w:ascii="Arial" w:hAnsi="Arial" w:cs="Arial"/>
        </w:rPr>
        <w:t xml:space="preserve"> </w:t>
      </w:r>
      <w:r w:rsidR="0002478E" w:rsidRPr="0002478E">
        <w:rPr>
          <w:rFonts w:ascii="Arial" w:hAnsi="Arial" w:cs="Arial"/>
        </w:rPr>
        <w:t>Bohuňovice</w:t>
      </w:r>
    </w:p>
    <w:p w14:paraId="53CB5719" w14:textId="77777777" w:rsidR="00957610" w:rsidRDefault="007674F0" w:rsidP="00EC1F79">
      <w:pPr>
        <w:rPr>
          <w:rFonts w:ascii="Arial" w:hAnsi="Arial" w:cs="Arial"/>
        </w:rPr>
      </w:pPr>
      <w:r w:rsidRPr="0002478E">
        <w:rPr>
          <w:rFonts w:ascii="Arial" w:hAnsi="Arial" w:cs="Arial"/>
          <w:b/>
          <w:bCs/>
          <w:i/>
          <w:iCs/>
        </w:rPr>
        <w:lastRenderedPageBreak/>
        <w:t>Obchodní firma oznamovatele:</w:t>
      </w:r>
      <w:r w:rsidRPr="007674F0">
        <w:rPr>
          <w:rFonts w:ascii="Arial" w:hAnsi="Arial" w:cs="Arial"/>
        </w:rPr>
        <w:t xml:space="preserve"> </w:t>
      </w:r>
    </w:p>
    <w:p w14:paraId="0C7F6C53" w14:textId="77777777" w:rsidR="00957610" w:rsidRDefault="00957610" w:rsidP="00EC1F79">
      <w:pPr>
        <w:rPr>
          <w:rFonts w:ascii="Arial" w:hAnsi="Arial" w:cs="Arial"/>
        </w:rPr>
      </w:pPr>
    </w:p>
    <w:p w14:paraId="6BEAA37E" w14:textId="77777777" w:rsidR="00F0314A" w:rsidRPr="00F0314A" w:rsidRDefault="00F0314A" w:rsidP="00EC1F79">
      <w:pPr>
        <w:rPr>
          <w:rFonts w:ascii="Arial" w:hAnsi="Arial" w:cs="Arial"/>
        </w:rPr>
      </w:pPr>
      <w:r w:rsidRPr="00F0314A">
        <w:rPr>
          <w:rFonts w:ascii="Arial" w:hAnsi="Arial" w:cs="Arial"/>
        </w:rPr>
        <w:t xml:space="preserve">Ředitelství silnic a dálnic ČR </w:t>
      </w:r>
    </w:p>
    <w:p w14:paraId="403A491F" w14:textId="77777777" w:rsidR="00F0314A" w:rsidRPr="00F0314A" w:rsidRDefault="00F0314A" w:rsidP="00EC1F79">
      <w:pPr>
        <w:rPr>
          <w:rFonts w:ascii="Arial" w:hAnsi="Arial" w:cs="Arial"/>
        </w:rPr>
      </w:pPr>
      <w:r w:rsidRPr="00F0314A">
        <w:rPr>
          <w:rFonts w:ascii="Arial" w:hAnsi="Arial" w:cs="Arial"/>
        </w:rPr>
        <w:t xml:space="preserve">Na Pankráci 546/56, 145 05 Praha 4 </w:t>
      </w:r>
    </w:p>
    <w:p w14:paraId="0C8A2F32" w14:textId="07712888" w:rsidR="0002478E" w:rsidRPr="00F0314A" w:rsidRDefault="00F0314A" w:rsidP="00EC1F79">
      <w:pPr>
        <w:rPr>
          <w:rFonts w:ascii="Arial" w:hAnsi="Arial" w:cs="Arial"/>
        </w:rPr>
      </w:pPr>
      <w:r w:rsidRPr="00F0314A">
        <w:rPr>
          <w:rFonts w:ascii="Arial" w:hAnsi="Arial" w:cs="Arial"/>
        </w:rPr>
        <w:t>IČ: 65993390</w:t>
      </w:r>
    </w:p>
    <w:p w14:paraId="75C8CCCC" w14:textId="77777777" w:rsidR="00F0314A" w:rsidRDefault="00F0314A" w:rsidP="00EC1F79">
      <w:pPr>
        <w:rPr>
          <w:rFonts w:ascii="Arial" w:hAnsi="Arial" w:cs="Arial"/>
        </w:rPr>
      </w:pPr>
    </w:p>
    <w:p w14:paraId="69FE1B0D" w14:textId="639F1987" w:rsidR="00C96C13" w:rsidRPr="00B20FA2" w:rsidRDefault="007674F0" w:rsidP="00C96C1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7674F0">
        <w:rPr>
          <w:rFonts w:ascii="Arial" w:hAnsi="Arial" w:cs="Arial"/>
        </w:rPr>
        <w:t xml:space="preserve">Záměr </w:t>
      </w:r>
      <w:r w:rsidRPr="0002478E">
        <w:rPr>
          <w:rFonts w:ascii="Arial" w:hAnsi="Arial" w:cs="Arial"/>
        </w:rPr>
        <w:t>„</w:t>
      </w:r>
      <w:r w:rsidR="0002478E" w:rsidRPr="0002478E">
        <w:rPr>
          <w:rFonts w:ascii="Arial" w:hAnsi="Arial" w:cs="Arial"/>
        </w:rPr>
        <w:t>Přeložka silnice I/46 Týneček  - Šternberk</w:t>
      </w:r>
      <w:r w:rsidRPr="0002478E">
        <w:rPr>
          <w:rFonts w:ascii="Arial" w:hAnsi="Arial" w:cs="Arial"/>
        </w:rPr>
        <w:t>“</w:t>
      </w:r>
      <w:r w:rsidRPr="007674F0">
        <w:rPr>
          <w:rFonts w:ascii="Arial" w:hAnsi="Arial" w:cs="Arial"/>
        </w:rPr>
        <w:t xml:space="preserve"> naplnil </w:t>
      </w:r>
      <w:r w:rsidR="0002478E" w:rsidRPr="0002478E">
        <w:rPr>
          <w:rFonts w:ascii="Arial" w:hAnsi="Arial" w:cs="Arial"/>
          <w:bCs/>
          <w:iCs/>
        </w:rPr>
        <w:t>(ve znění účinném ke dni vydání stanoviska EIA)</w:t>
      </w:r>
      <w:r w:rsidR="00FC5D2D">
        <w:rPr>
          <w:rFonts w:ascii="Arial" w:hAnsi="Arial" w:cs="Arial"/>
          <w:bCs/>
          <w:iCs/>
        </w:rPr>
        <w:t xml:space="preserve"> </w:t>
      </w:r>
      <w:r w:rsidRPr="007674F0">
        <w:rPr>
          <w:rFonts w:ascii="Arial" w:hAnsi="Arial" w:cs="Arial"/>
        </w:rPr>
        <w:t>dikci bodu 9.1 Novostavby, rozšiřování a přeložky silnic všech tříd a místních komunikací I. a II. třídy (záměry neuvedené v kategorii I) kategorie II přílohy č. 1 k</w:t>
      </w:r>
      <w:r w:rsidR="00FC5D2D">
        <w:rPr>
          <w:rFonts w:ascii="Arial" w:hAnsi="Arial" w:cs="Arial"/>
        </w:rPr>
        <w:t> </w:t>
      </w:r>
      <w:r w:rsidRPr="007674F0">
        <w:rPr>
          <w:rFonts w:ascii="Arial" w:hAnsi="Arial" w:cs="Arial"/>
        </w:rPr>
        <w:t>zákonu</w:t>
      </w:r>
      <w:r w:rsidR="00FC5D2D">
        <w:rPr>
          <w:rFonts w:ascii="Arial" w:hAnsi="Arial" w:cs="Arial"/>
        </w:rPr>
        <w:t xml:space="preserve">. </w:t>
      </w:r>
      <w:r w:rsidR="00F0314A">
        <w:rPr>
          <w:rFonts w:ascii="Arial" w:hAnsi="Arial" w:cs="Arial"/>
        </w:rPr>
        <w:t>S</w:t>
      </w:r>
      <w:r w:rsidRPr="007674F0">
        <w:rPr>
          <w:rFonts w:ascii="Arial" w:hAnsi="Arial" w:cs="Arial"/>
        </w:rPr>
        <w:t>tanovisk</w:t>
      </w:r>
      <w:r w:rsidR="00F0314A">
        <w:rPr>
          <w:rFonts w:ascii="Arial" w:hAnsi="Arial" w:cs="Arial"/>
        </w:rPr>
        <w:t>o EIA</w:t>
      </w:r>
      <w:r w:rsidRPr="007674F0">
        <w:rPr>
          <w:rFonts w:ascii="Arial" w:hAnsi="Arial" w:cs="Arial"/>
        </w:rPr>
        <w:t xml:space="preserve"> byl</w:t>
      </w:r>
      <w:r w:rsidR="00F0314A">
        <w:rPr>
          <w:rFonts w:ascii="Arial" w:hAnsi="Arial" w:cs="Arial"/>
        </w:rPr>
        <w:t>o</w:t>
      </w:r>
      <w:r w:rsidRPr="007674F0">
        <w:rPr>
          <w:rFonts w:ascii="Arial" w:hAnsi="Arial" w:cs="Arial"/>
        </w:rPr>
        <w:t xml:space="preserve"> </w:t>
      </w:r>
      <w:r w:rsidR="00F0314A">
        <w:rPr>
          <w:rFonts w:ascii="Arial" w:hAnsi="Arial" w:cs="Arial"/>
        </w:rPr>
        <w:t xml:space="preserve">pod č.j.: KUOK 41017/2010 vydáno </w:t>
      </w:r>
      <w:r w:rsidR="00F0314A">
        <w:rPr>
          <w:rFonts w:ascii="Arial" w:hAnsi="Arial" w:cs="Arial"/>
        </w:rPr>
        <w:br/>
        <w:t xml:space="preserve">dne 7. 12. 2010 s platností na </w:t>
      </w:r>
      <w:r w:rsidRPr="007674F0">
        <w:rPr>
          <w:rFonts w:ascii="Arial" w:hAnsi="Arial" w:cs="Arial"/>
        </w:rPr>
        <w:t xml:space="preserve">5 let, </w:t>
      </w:r>
      <w:r w:rsidR="00F0314A">
        <w:rPr>
          <w:rFonts w:ascii="Arial" w:hAnsi="Arial" w:cs="Arial"/>
        </w:rPr>
        <w:t xml:space="preserve">tj. </w:t>
      </w:r>
      <w:r w:rsidRPr="007674F0">
        <w:rPr>
          <w:rFonts w:ascii="Arial" w:hAnsi="Arial" w:cs="Arial"/>
        </w:rPr>
        <w:t>do 7. 1</w:t>
      </w:r>
      <w:r w:rsidR="00FC5D2D">
        <w:rPr>
          <w:rFonts w:ascii="Arial" w:hAnsi="Arial" w:cs="Arial"/>
        </w:rPr>
        <w:t>2</w:t>
      </w:r>
      <w:r w:rsidRPr="007674F0">
        <w:rPr>
          <w:rFonts w:ascii="Arial" w:hAnsi="Arial" w:cs="Arial"/>
        </w:rPr>
        <w:t xml:space="preserve">. 2015. </w:t>
      </w:r>
      <w:r w:rsidR="00F0314A">
        <w:rPr>
          <w:rFonts w:ascii="Arial" w:hAnsi="Arial" w:cs="Arial"/>
        </w:rPr>
        <w:t>Na základě žádosti oznamovatele ze dne 10. 11. 2015 bylo stanovisko EIA prodlouženo krajským úřadem o dalších 5 let, tj. do 7. 12. 2020 (č.j.: KUOK 103130/</w:t>
      </w:r>
      <w:r w:rsidR="00B20FA2">
        <w:rPr>
          <w:rFonts w:ascii="Arial" w:hAnsi="Arial" w:cs="Arial"/>
        </w:rPr>
        <w:t xml:space="preserve">2015 ze dne 18. 11 2015). Na základě žádosti oznamovatele ze dne </w:t>
      </w:r>
      <w:r w:rsidR="00FC5D2D" w:rsidRPr="00FC5D2D">
        <w:rPr>
          <w:rFonts w:ascii="Arial" w:hAnsi="Arial" w:cs="Arial"/>
        </w:rPr>
        <w:t xml:space="preserve">12. 2. 2016 </w:t>
      </w:r>
      <w:r w:rsidR="00B20FA2">
        <w:rPr>
          <w:rFonts w:ascii="Arial" w:hAnsi="Arial" w:cs="Arial"/>
        </w:rPr>
        <w:t xml:space="preserve">bylo </w:t>
      </w:r>
      <w:r w:rsidR="00FC5D2D">
        <w:rPr>
          <w:rFonts w:ascii="Arial" w:hAnsi="Arial" w:cs="Arial"/>
        </w:rPr>
        <w:t>krajský</w:t>
      </w:r>
      <w:r w:rsidR="00B20FA2">
        <w:rPr>
          <w:rFonts w:ascii="Arial" w:hAnsi="Arial" w:cs="Arial"/>
        </w:rPr>
        <w:t>m</w:t>
      </w:r>
      <w:r w:rsidR="00FC5D2D">
        <w:rPr>
          <w:rFonts w:ascii="Arial" w:hAnsi="Arial" w:cs="Arial"/>
        </w:rPr>
        <w:t xml:space="preserve"> úřad</w:t>
      </w:r>
      <w:r w:rsidR="00B20FA2">
        <w:rPr>
          <w:rFonts w:ascii="Arial" w:hAnsi="Arial" w:cs="Arial"/>
        </w:rPr>
        <w:t xml:space="preserve">em </w:t>
      </w:r>
      <w:r w:rsidR="00B20FA2" w:rsidRPr="00C96C13">
        <w:rPr>
          <w:rFonts w:ascii="Arial" w:hAnsi="Arial" w:cs="Arial"/>
        </w:rPr>
        <w:t xml:space="preserve">pod č.j.: KUOK  </w:t>
      </w:r>
      <w:r w:rsidR="00B20FA2" w:rsidRPr="00C96C13">
        <w:rPr>
          <w:rFonts w:ascii="Arial" w:hAnsi="Arial" w:cs="Arial"/>
          <w:szCs w:val="24"/>
        </w:rPr>
        <w:t xml:space="preserve">27807/2016 </w:t>
      </w:r>
      <w:r w:rsidR="00B20FA2">
        <w:rPr>
          <w:rFonts w:ascii="Arial" w:hAnsi="Arial" w:cs="Arial"/>
          <w:szCs w:val="24"/>
        </w:rPr>
        <w:t xml:space="preserve">vydáno dne </w:t>
      </w:r>
      <w:r w:rsidR="00B20FA2" w:rsidRPr="00C96C13">
        <w:rPr>
          <w:rFonts w:ascii="Arial" w:hAnsi="Arial" w:cs="Arial"/>
        </w:rPr>
        <w:t xml:space="preserve">14. 3. 2016 </w:t>
      </w:r>
      <w:r w:rsidR="00C96C13" w:rsidRPr="00C96C13">
        <w:rPr>
          <w:rFonts w:ascii="Arial" w:hAnsi="Arial" w:cs="Arial"/>
          <w:szCs w:val="24"/>
        </w:rPr>
        <w:t>závazné stanovisko k ověření souladu</w:t>
      </w:r>
      <w:r w:rsidR="00B20FA2">
        <w:rPr>
          <w:rFonts w:ascii="Arial" w:hAnsi="Arial" w:cs="Arial"/>
          <w:szCs w:val="24"/>
        </w:rPr>
        <w:t>.</w:t>
      </w:r>
      <w:r w:rsidR="00C96C13" w:rsidRPr="00C96C13">
        <w:rPr>
          <w:rFonts w:ascii="Arial" w:hAnsi="Arial" w:cs="Arial"/>
          <w:szCs w:val="24"/>
        </w:rPr>
        <w:t xml:space="preserve"> </w:t>
      </w:r>
      <w:r w:rsidR="00B20FA2" w:rsidRPr="00B20FA2">
        <w:rPr>
          <w:rFonts w:ascii="Arial" w:hAnsi="Arial" w:cs="Arial"/>
        </w:rPr>
        <w:t xml:space="preserve">Dne </w:t>
      </w:r>
      <w:r w:rsidR="00B20FA2">
        <w:rPr>
          <w:rFonts w:ascii="Arial" w:hAnsi="Arial" w:cs="Arial"/>
        </w:rPr>
        <w:t>4</w:t>
      </w:r>
      <w:r w:rsidR="00B20FA2" w:rsidRPr="00B20FA2">
        <w:rPr>
          <w:rFonts w:ascii="Arial" w:hAnsi="Arial" w:cs="Arial"/>
        </w:rPr>
        <w:t>.</w:t>
      </w:r>
      <w:r w:rsidR="00B20FA2">
        <w:rPr>
          <w:rFonts w:ascii="Arial" w:hAnsi="Arial" w:cs="Arial"/>
        </w:rPr>
        <w:t xml:space="preserve"> </w:t>
      </w:r>
      <w:r w:rsidR="00B20FA2" w:rsidRPr="00B20FA2">
        <w:rPr>
          <w:rFonts w:ascii="Arial" w:hAnsi="Arial" w:cs="Arial"/>
        </w:rPr>
        <w:t>1</w:t>
      </w:r>
      <w:r w:rsidR="00B20FA2">
        <w:rPr>
          <w:rFonts w:ascii="Arial" w:hAnsi="Arial" w:cs="Arial"/>
        </w:rPr>
        <w:t>1</w:t>
      </w:r>
      <w:r w:rsidR="00B20FA2" w:rsidRPr="00B20FA2">
        <w:rPr>
          <w:rFonts w:ascii="Arial" w:hAnsi="Arial" w:cs="Arial"/>
        </w:rPr>
        <w:t>.</w:t>
      </w:r>
      <w:r w:rsidR="00B20FA2">
        <w:rPr>
          <w:rFonts w:ascii="Arial" w:hAnsi="Arial" w:cs="Arial"/>
        </w:rPr>
        <w:t xml:space="preserve"> </w:t>
      </w:r>
      <w:r w:rsidR="00B20FA2" w:rsidRPr="00B20FA2">
        <w:rPr>
          <w:rFonts w:ascii="Arial" w:hAnsi="Arial" w:cs="Arial"/>
        </w:rPr>
        <w:t>20</w:t>
      </w:r>
      <w:r w:rsidR="00B20FA2">
        <w:rPr>
          <w:rFonts w:ascii="Arial" w:hAnsi="Arial" w:cs="Arial"/>
        </w:rPr>
        <w:t>20</w:t>
      </w:r>
      <w:r w:rsidR="00B20FA2" w:rsidRPr="00B20FA2">
        <w:rPr>
          <w:rFonts w:ascii="Arial" w:hAnsi="Arial" w:cs="Arial"/>
        </w:rPr>
        <w:t xml:space="preserve"> byla </w:t>
      </w:r>
      <w:r w:rsidR="00B20FA2">
        <w:rPr>
          <w:rFonts w:ascii="Arial" w:hAnsi="Arial" w:cs="Arial"/>
        </w:rPr>
        <w:t>krajskému úřadu</w:t>
      </w:r>
      <w:r w:rsidR="00B20FA2" w:rsidRPr="00B20FA2">
        <w:rPr>
          <w:rFonts w:ascii="Arial" w:hAnsi="Arial" w:cs="Arial"/>
        </w:rPr>
        <w:t xml:space="preserve"> doručena žádost oznamovatele o opětovné prodloužení předmětného stanoviska EIA. Žádost byla doplněna dokumentem „Podklad pro prodloužení stanoviska EIA“ (</w:t>
      </w:r>
      <w:r w:rsidR="006947AD">
        <w:rPr>
          <w:rFonts w:ascii="Arial" w:hAnsi="Arial" w:cs="Arial"/>
        </w:rPr>
        <w:t xml:space="preserve">Mgr. Tomáš Šikula, držitel autorizace dle § 19 zákona a spolupracovníci spol. HBH </w:t>
      </w:r>
      <w:r w:rsidR="00B20FA2" w:rsidRPr="00B20FA2">
        <w:rPr>
          <w:rFonts w:ascii="Arial" w:hAnsi="Arial" w:cs="Arial"/>
        </w:rPr>
        <w:t>Projekt spol. s r.o., 1</w:t>
      </w:r>
      <w:r w:rsidR="00B20FA2">
        <w:rPr>
          <w:rFonts w:ascii="Arial" w:hAnsi="Arial" w:cs="Arial"/>
        </w:rPr>
        <w:t>0</w:t>
      </w:r>
      <w:r w:rsidR="00B20FA2" w:rsidRPr="00B20FA2">
        <w:rPr>
          <w:rFonts w:ascii="Arial" w:hAnsi="Arial" w:cs="Arial"/>
        </w:rPr>
        <w:t>/20</w:t>
      </w:r>
      <w:r w:rsidR="00B20FA2">
        <w:rPr>
          <w:rFonts w:ascii="Arial" w:hAnsi="Arial" w:cs="Arial"/>
        </w:rPr>
        <w:t>20</w:t>
      </w:r>
      <w:r w:rsidR="00B20FA2" w:rsidRPr="00B20FA2">
        <w:rPr>
          <w:rFonts w:ascii="Arial" w:hAnsi="Arial" w:cs="Arial"/>
        </w:rPr>
        <w:t>) pro záměr „</w:t>
      </w:r>
      <w:r w:rsidR="00B20FA2">
        <w:rPr>
          <w:rFonts w:ascii="Arial" w:hAnsi="Arial" w:cs="Arial"/>
        </w:rPr>
        <w:t>Přeložka silnice I/46 Týneček - Šternberk</w:t>
      </w:r>
      <w:r w:rsidR="00B20FA2" w:rsidRPr="00B20FA2">
        <w:rPr>
          <w:rFonts w:ascii="Arial" w:hAnsi="Arial" w:cs="Arial"/>
        </w:rPr>
        <w:t>“.</w:t>
      </w:r>
    </w:p>
    <w:p w14:paraId="1CAF2D49" w14:textId="77777777" w:rsidR="00C96C13" w:rsidRDefault="00C96C13" w:rsidP="00C96C1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71AABF9C" w14:textId="73E2EFEE" w:rsidR="00C96C13" w:rsidRDefault="007674F0" w:rsidP="00C96C1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7674F0">
        <w:rPr>
          <w:rFonts w:ascii="Arial" w:hAnsi="Arial" w:cs="Arial"/>
        </w:rPr>
        <w:t xml:space="preserve">Na základě předložené žádosti dospěl krajský úřad, jako příslušný úřad podle § 22 zákona k závěru, že u záměru </w:t>
      </w:r>
    </w:p>
    <w:p w14:paraId="641B69E1" w14:textId="77777777" w:rsidR="00B20FA2" w:rsidRDefault="00B20FA2" w:rsidP="00C96C1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296E0017" w14:textId="3384478C" w:rsidR="00C96C13" w:rsidRDefault="007674F0" w:rsidP="00C96C1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C96C13">
        <w:rPr>
          <w:rFonts w:ascii="Arial" w:hAnsi="Arial" w:cs="Arial"/>
          <w:b/>
          <w:bCs/>
        </w:rPr>
        <w:t>„</w:t>
      </w:r>
      <w:r w:rsidR="00C96C13" w:rsidRPr="00C96C13">
        <w:rPr>
          <w:rFonts w:ascii="Arial" w:hAnsi="Arial" w:cs="Arial"/>
          <w:b/>
          <w:bCs/>
        </w:rPr>
        <w:t>Přeložka silnice I/46 Týneček  - Šternberk</w:t>
      </w:r>
      <w:r w:rsidRPr="00C96C13">
        <w:rPr>
          <w:rFonts w:ascii="Arial" w:hAnsi="Arial" w:cs="Arial"/>
          <w:b/>
          <w:bCs/>
        </w:rPr>
        <w:t>“</w:t>
      </w:r>
    </w:p>
    <w:p w14:paraId="74B9A5D7" w14:textId="77777777" w:rsidR="00B20FA2" w:rsidRPr="00C96C13" w:rsidRDefault="00B20FA2" w:rsidP="00C96C1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2D84C667" w14:textId="1FBC2770" w:rsidR="00C96C13" w:rsidRPr="00B20FA2" w:rsidRDefault="00B20FA2" w:rsidP="00C96C13">
      <w:pPr>
        <w:autoSpaceDE w:val="0"/>
        <w:autoSpaceDN w:val="0"/>
        <w:adjustRightInd w:val="0"/>
        <w:spacing w:before="120"/>
        <w:rPr>
          <w:rFonts w:ascii="Arial" w:hAnsi="Arial" w:cs="Arial"/>
          <w:u w:val="single"/>
        </w:rPr>
      </w:pPr>
      <w:r w:rsidRPr="00B20FA2">
        <w:rPr>
          <w:rFonts w:ascii="Arial" w:hAnsi="Arial" w:cs="Arial"/>
        </w:rPr>
        <w:t xml:space="preserve">nedošlo k podstatným změnám realizace záměru, podmínek v dotčeném území, </w:t>
      </w:r>
      <w:r>
        <w:rPr>
          <w:rFonts w:ascii="Arial" w:hAnsi="Arial" w:cs="Arial"/>
        </w:rPr>
        <w:br/>
      </w:r>
      <w:r w:rsidRPr="00B20FA2">
        <w:rPr>
          <w:rFonts w:ascii="Arial" w:hAnsi="Arial" w:cs="Arial"/>
        </w:rPr>
        <w:t xml:space="preserve">k novým znalostem souvisejícím s věcným obsahem dokumentace a vývoji nových technologií využitelných v záměru a platnost stanoviska k posouzení vlivů provedení záměru na životní prostředí vydaného </w:t>
      </w:r>
      <w:r>
        <w:rPr>
          <w:rFonts w:ascii="Arial" w:hAnsi="Arial" w:cs="Arial"/>
        </w:rPr>
        <w:t xml:space="preserve">pod </w:t>
      </w:r>
      <w:r w:rsidRPr="00B20FA2">
        <w:rPr>
          <w:rFonts w:ascii="Arial" w:hAnsi="Arial" w:cs="Arial"/>
        </w:rPr>
        <w:t xml:space="preserve">č.j.: KUOK 41017/2010 </w:t>
      </w:r>
      <w:r w:rsidR="00C96C13" w:rsidRPr="00B20FA2">
        <w:rPr>
          <w:rFonts w:ascii="Arial" w:hAnsi="Arial" w:cs="Arial"/>
        </w:rPr>
        <w:t xml:space="preserve"> dne 7. 12. 2010 </w:t>
      </w:r>
      <w:r w:rsidR="00304EC8">
        <w:rPr>
          <w:rFonts w:ascii="Arial" w:hAnsi="Arial" w:cs="Arial"/>
        </w:rPr>
        <w:br/>
      </w:r>
      <w:r w:rsidRPr="00B20FA2">
        <w:rPr>
          <w:rFonts w:ascii="Arial" w:hAnsi="Arial" w:cs="Arial"/>
          <w:b/>
          <w:bCs/>
        </w:rPr>
        <w:t>se</w:t>
      </w:r>
      <w:r w:rsidR="007674F0" w:rsidRPr="00B20FA2">
        <w:rPr>
          <w:rFonts w:ascii="Arial" w:hAnsi="Arial" w:cs="Arial"/>
          <w:b/>
          <w:bCs/>
        </w:rPr>
        <w:t xml:space="preserve"> prodlužuje o </w:t>
      </w:r>
      <w:r w:rsidRPr="00B20FA2">
        <w:rPr>
          <w:rFonts w:ascii="Arial" w:hAnsi="Arial" w:cs="Arial"/>
          <w:b/>
          <w:bCs/>
        </w:rPr>
        <w:t xml:space="preserve">dalších </w:t>
      </w:r>
      <w:r w:rsidR="007674F0" w:rsidRPr="00B20FA2">
        <w:rPr>
          <w:rFonts w:ascii="Arial" w:hAnsi="Arial" w:cs="Arial"/>
          <w:b/>
          <w:bCs/>
        </w:rPr>
        <w:t>5 let,</w:t>
      </w:r>
      <w:r w:rsidR="007674F0" w:rsidRPr="00B20FA2">
        <w:rPr>
          <w:rFonts w:ascii="Arial" w:hAnsi="Arial" w:cs="Arial"/>
        </w:rPr>
        <w:t xml:space="preserve"> tedy </w:t>
      </w:r>
      <w:r w:rsidR="007674F0" w:rsidRPr="003C31F8">
        <w:rPr>
          <w:rFonts w:ascii="Arial" w:hAnsi="Arial" w:cs="Arial"/>
          <w:b/>
          <w:bCs/>
        </w:rPr>
        <w:t>do 7. 1</w:t>
      </w:r>
      <w:r w:rsidR="00C96C13" w:rsidRPr="003C31F8">
        <w:rPr>
          <w:rFonts w:ascii="Arial" w:hAnsi="Arial" w:cs="Arial"/>
          <w:b/>
          <w:bCs/>
        </w:rPr>
        <w:t>2.</w:t>
      </w:r>
      <w:r w:rsidR="007674F0" w:rsidRPr="003C31F8">
        <w:rPr>
          <w:rFonts w:ascii="Arial" w:hAnsi="Arial" w:cs="Arial"/>
          <w:b/>
          <w:bCs/>
        </w:rPr>
        <w:t xml:space="preserve"> 2025.</w:t>
      </w:r>
      <w:r w:rsidR="007674F0" w:rsidRPr="00B20FA2">
        <w:rPr>
          <w:rFonts w:ascii="Arial" w:hAnsi="Arial" w:cs="Arial"/>
          <w:u w:val="single"/>
        </w:rPr>
        <w:t xml:space="preserve"> </w:t>
      </w:r>
    </w:p>
    <w:p w14:paraId="22E044D3" w14:textId="77777777" w:rsidR="00C96C13" w:rsidRPr="00C96C13" w:rsidRDefault="00C96C13" w:rsidP="00C96C13">
      <w:pPr>
        <w:autoSpaceDE w:val="0"/>
        <w:autoSpaceDN w:val="0"/>
        <w:adjustRightInd w:val="0"/>
        <w:spacing w:before="120"/>
        <w:rPr>
          <w:rFonts w:ascii="Arial" w:hAnsi="Arial" w:cs="Arial"/>
          <w:u w:val="single"/>
        </w:rPr>
      </w:pPr>
    </w:p>
    <w:p w14:paraId="4C75BC04" w14:textId="1BE0D1F8" w:rsidR="00C96C13" w:rsidRDefault="007674F0" w:rsidP="00304EC8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C96C13">
        <w:rPr>
          <w:rFonts w:ascii="Arial" w:hAnsi="Arial" w:cs="Arial"/>
          <w:b/>
          <w:bCs/>
        </w:rPr>
        <w:t>Odůvodnění</w:t>
      </w:r>
    </w:p>
    <w:p w14:paraId="1AE3D729" w14:textId="77777777" w:rsidR="00304EC8" w:rsidRPr="00C96C13" w:rsidRDefault="00304EC8" w:rsidP="00304EC8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2307BBF3" w14:textId="49BB556F" w:rsidR="007674F0" w:rsidRPr="00304EC8" w:rsidRDefault="00304EC8" w:rsidP="00C96C1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304EC8">
        <w:rPr>
          <w:rFonts w:ascii="Arial" w:hAnsi="Arial" w:cs="Arial"/>
        </w:rPr>
        <w:t xml:space="preserve">Žádost o prodloužení platnosti stanoviska EIA byla </w:t>
      </w:r>
      <w:r>
        <w:rPr>
          <w:rFonts w:ascii="Arial" w:hAnsi="Arial" w:cs="Arial"/>
        </w:rPr>
        <w:t>krajskému úřadu</w:t>
      </w:r>
      <w:r w:rsidRPr="00304EC8">
        <w:rPr>
          <w:rFonts w:ascii="Arial" w:hAnsi="Arial" w:cs="Arial"/>
        </w:rPr>
        <w:t xml:space="preserve"> předložena dne </w:t>
      </w:r>
      <w:r>
        <w:rPr>
          <w:rFonts w:ascii="Arial" w:hAnsi="Arial" w:cs="Arial"/>
        </w:rPr>
        <w:t>4</w:t>
      </w:r>
      <w:r w:rsidRPr="00304EC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04EC8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304EC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04EC8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304EC8">
        <w:rPr>
          <w:rFonts w:ascii="Arial" w:hAnsi="Arial" w:cs="Arial"/>
        </w:rPr>
        <w:t xml:space="preserve">. Součástí žádosti je dokument „Podklad pro prodloužení stanoviska EIA“ </w:t>
      </w:r>
      <w:r w:rsidR="00FE2328" w:rsidRPr="00B20FA2">
        <w:rPr>
          <w:rFonts w:ascii="Arial" w:hAnsi="Arial" w:cs="Arial"/>
        </w:rPr>
        <w:t>(</w:t>
      </w:r>
      <w:r w:rsidR="00FE2328">
        <w:rPr>
          <w:rFonts w:ascii="Arial" w:hAnsi="Arial" w:cs="Arial"/>
        </w:rPr>
        <w:t xml:space="preserve">Mgr. Tomáš Šikula, držitel autorizace dle § 19 zákona a spolupracovníci spol. </w:t>
      </w:r>
      <w:r w:rsidRPr="00304EC8">
        <w:rPr>
          <w:rFonts w:ascii="Arial" w:hAnsi="Arial" w:cs="Arial"/>
        </w:rPr>
        <w:t>HBH Projekt spol. s r.o., 1</w:t>
      </w:r>
      <w:r>
        <w:rPr>
          <w:rFonts w:ascii="Arial" w:hAnsi="Arial" w:cs="Arial"/>
        </w:rPr>
        <w:t>0</w:t>
      </w:r>
      <w:r w:rsidRPr="00304EC8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  <w:r w:rsidRPr="00304EC8">
        <w:rPr>
          <w:rFonts w:ascii="Arial" w:hAnsi="Arial" w:cs="Arial"/>
        </w:rPr>
        <w:t>) pro záměr „</w:t>
      </w:r>
      <w:r>
        <w:rPr>
          <w:rFonts w:ascii="Arial" w:hAnsi="Arial" w:cs="Arial"/>
        </w:rPr>
        <w:t>Přeložka silnice I/46 Týneček - Šternberk</w:t>
      </w:r>
      <w:r w:rsidRPr="00304EC8">
        <w:rPr>
          <w:rFonts w:ascii="Arial" w:hAnsi="Arial" w:cs="Arial"/>
        </w:rPr>
        <w:t xml:space="preserve">“. Dokument „Podklad pro prodloužení stanoviska EIA“ byl zpracován </w:t>
      </w:r>
      <w:r>
        <w:rPr>
          <w:rFonts w:ascii="Arial" w:hAnsi="Arial" w:cs="Arial"/>
        </w:rPr>
        <w:br/>
      </w:r>
      <w:r w:rsidRPr="00304EC8">
        <w:rPr>
          <w:rFonts w:ascii="Arial" w:hAnsi="Arial" w:cs="Arial"/>
        </w:rPr>
        <w:t>v souladu se sdělením Ministerstva životního prostředí ze dne 13.</w:t>
      </w:r>
      <w:r w:rsidR="007B209F">
        <w:rPr>
          <w:rFonts w:ascii="Arial" w:hAnsi="Arial" w:cs="Arial"/>
        </w:rPr>
        <w:t xml:space="preserve"> </w:t>
      </w:r>
      <w:r w:rsidRPr="00304EC8">
        <w:rPr>
          <w:rFonts w:ascii="Arial" w:hAnsi="Arial" w:cs="Arial"/>
        </w:rPr>
        <w:t>9.</w:t>
      </w:r>
      <w:r w:rsidR="007B209F">
        <w:rPr>
          <w:rFonts w:ascii="Arial" w:hAnsi="Arial" w:cs="Arial"/>
        </w:rPr>
        <w:t xml:space="preserve"> </w:t>
      </w:r>
      <w:r w:rsidRPr="00304EC8">
        <w:rPr>
          <w:rFonts w:ascii="Arial" w:hAnsi="Arial" w:cs="Arial"/>
        </w:rPr>
        <w:t xml:space="preserve">2018 </w:t>
      </w:r>
      <w:r>
        <w:rPr>
          <w:rFonts w:ascii="Arial" w:hAnsi="Arial" w:cs="Arial"/>
        </w:rPr>
        <w:br/>
      </w:r>
      <w:r w:rsidRPr="00304EC8">
        <w:rPr>
          <w:rFonts w:ascii="Arial" w:hAnsi="Arial" w:cs="Arial"/>
        </w:rPr>
        <w:t xml:space="preserve">(č.j.: MZP/2018/710/2837, dále jen metodika), ve kterém jsou doporučeny náležitosti žádosti o prodloužení platnosti stanovisek EIA. </w:t>
      </w:r>
    </w:p>
    <w:p w14:paraId="036FC2C5" w14:textId="77777777" w:rsidR="007674F0" w:rsidRDefault="007674F0" w:rsidP="00EC1F79">
      <w:pPr>
        <w:rPr>
          <w:rFonts w:ascii="Arial" w:hAnsi="Arial" w:cs="Arial"/>
          <w:b/>
          <w:bCs/>
        </w:rPr>
      </w:pPr>
    </w:p>
    <w:p w14:paraId="70D733A3" w14:textId="77777777" w:rsidR="00FE2328" w:rsidRDefault="00FE2328" w:rsidP="00A04F46">
      <w:pPr>
        <w:rPr>
          <w:rFonts w:ascii="Arial" w:hAnsi="Arial" w:cs="Arial"/>
          <w:u w:val="single"/>
        </w:rPr>
      </w:pPr>
    </w:p>
    <w:p w14:paraId="08E9A801" w14:textId="77777777" w:rsidR="00FE2328" w:rsidRDefault="00FE2328" w:rsidP="00A04F46">
      <w:pPr>
        <w:rPr>
          <w:rFonts w:ascii="Arial" w:hAnsi="Arial" w:cs="Arial"/>
          <w:u w:val="single"/>
        </w:rPr>
      </w:pPr>
    </w:p>
    <w:p w14:paraId="4AEDFAFD" w14:textId="0AE4DC72" w:rsidR="002E7148" w:rsidRDefault="002E7148" w:rsidP="00A04F46">
      <w:pPr>
        <w:rPr>
          <w:rFonts w:ascii="Arial" w:hAnsi="Arial" w:cs="Arial"/>
          <w:u w:val="single"/>
        </w:rPr>
      </w:pPr>
      <w:r w:rsidRPr="002E7148">
        <w:rPr>
          <w:rFonts w:ascii="Arial" w:hAnsi="Arial" w:cs="Arial"/>
          <w:u w:val="single"/>
        </w:rPr>
        <w:lastRenderedPageBreak/>
        <w:t xml:space="preserve">Popis změn záměru </w:t>
      </w:r>
    </w:p>
    <w:p w14:paraId="4F599E73" w14:textId="77777777" w:rsidR="00304EC8" w:rsidRPr="002E7148" w:rsidRDefault="00304EC8" w:rsidP="00A04F46">
      <w:pPr>
        <w:rPr>
          <w:rFonts w:ascii="Arial" w:hAnsi="Arial" w:cs="Arial"/>
          <w:u w:val="single"/>
        </w:rPr>
      </w:pPr>
    </w:p>
    <w:p w14:paraId="65C57D74" w14:textId="4B4CE284" w:rsidR="002E7148" w:rsidRDefault="002E7148" w:rsidP="00A04F46">
      <w:pPr>
        <w:rPr>
          <w:rFonts w:ascii="Arial" w:hAnsi="Arial" w:cs="Arial"/>
        </w:rPr>
      </w:pPr>
      <w:r w:rsidRPr="002E7148">
        <w:rPr>
          <w:rFonts w:ascii="Arial" w:hAnsi="Arial" w:cs="Arial"/>
        </w:rPr>
        <w:t xml:space="preserve">Technické řešení záměru a jeho případné změny nejsou předmětem hodnocení při prodloužení platnosti stanoviska EIA, to je ověřováno tzv. verifikačním závazným stanoviskem v rámci každého navazujícího řízení. Lze však konstatovat, že ve všech aktuálně připravovaných navazujících projektech zůstává nezměněna podstata záměru. </w:t>
      </w:r>
    </w:p>
    <w:p w14:paraId="6F136BA1" w14:textId="77777777" w:rsidR="002E7148" w:rsidRDefault="002E7148" w:rsidP="00A04F46">
      <w:pPr>
        <w:rPr>
          <w:rFonts w:ascii="Arial" w:hAnsi="Arial" w:cs="Arial"/>
        </w:rPr>
      </w:pPr>
    </w:p>
    <w:p w14:paraId="5C515315" w14:textId="738699F3" w:rsidR="002E7148" w:rsidRDefault="002E7148" w:rsidP="00A04F46">
      <w:pPr>
        <w:rPr>
          <w:rFonts w:ascii="Arial" w:hAnsi="Arial" w:cs="Arial"/>
          <w:u w:val="single"/>
        </w:rPr>
      </w:pPr>
      <w:r w:rsidRPr="002E7148">
        <w:rPr>
          <w:rFonts w:ascii="Arial" w:hAnsi="Arial" w:cs="Arial"/>
          <w:u w:val="single"/>
        </w:rPr>
        <w:t xml:space="preserve">Popis změn v dotčeném území </w:t>
      </w:r>
    </w:p>
    <w:p w14:paraId="0DCCFA3D" w14:textId="77777777" w:rsidR="002E7148" w:rsidRPr="002E7148" w:rsidRDefault="002E7148" w:rsidP="00A04F46">
      <w:pPr>
        <w:rPr>
          <w:rFonts w:ascii="Arial" w:hAnsi="Arial" w:cs="Arial"/>
          <w:u w:val="single"/>
        </w:rPr>
      </w:pPr>
    </w:p>
    <w:p w14:paraId="456A9E6D" w14:textId="2DDA5C3E" w:rsidR="002E7148" w:rsidRDefault="002E7148" w:rsidP="00A04F46">
      <w:pPr>
        <w:rPr>
          <w:rFonts w:ascii="Arial" w:hAnsi="Arial" w:cs="Arial"/>
          <w:i/>
          <w:iCs/>
        </w:rPr>
      </w:pPr>
      <w:r w:rsidRPr="002E7148">
        <w:rPr>
          <w:rFonts w:ascii="Arial" w:hAnsi="Arial" w:cs="Arial"/>
          <w:i/>
          <w:iCs/>
        </w:rPr>
        <w:t xml:space="preserve">Změny zástavby </w:t>
      </w:r>
    </w:p>
    <w:p w14:paraId="2D11711E" w14:textId="77777777" w:rsidR="003665F6" w:rsidRPr="002E7148" w:rsidRDefault="003665F6" w:rsidP="00A04F46">
      <w:pPr>
        <w:rPr>
          <w:rFonts w:ascii="Arial" w:hAnsi="Arial" w:cs="Arial"/>
          <w:i/>
          <w:iCs/>
        </w:rPr>
      </w:pPr>
    </w:p>
    <w:p w14:paraId="2A4A3982" w14:textId="724B6029" w:rsidR="009707C0" w:rsidRPr="00757314" w:rsidRDefault="00E00AC0" w:rsidP="00A04F46">
      <w:pPr>
        <w:rPr>
          <w:rFonts w:ascii="Arial" w:hAnsi="Arial" w:cs="Arial"/>
        </w:rPr>
      </w:pPr>
      <w:r w:rsidRPr="00483A73">
        <w:rPr>
          <w:rFonts w:ascii="Arial" w:hAnsi="Arial" w:cs="Arial"/>
        </w:rPr>
        <w:t xml:space="preserve">Většina územních plánů dotčených obcí byla aktualizována, tyto změny se týkaly především vymezení jednotlivých funkčních ploch, v souvislosti se záměrem nenastaly žádné změny, záměr je zanesen do všech územních plánů. Na území obce Tovéř byla na straně obce směřující k záměru vystavena obytná zástavba v podobě ulice s rodinnými domy. Na území obce Dolany byly vystaveny 2 rodinné domy v proluce a na okraji obce směřující k záměru. Na území obce Bělkovice-Lašťany byl vystavěn 1 rodinný dům na okraji obce směřující k záměru. Obytné objekty se nachází v dostatečné vzdálenosti od záměru, popř. jsou dostatečně chráněny v rámci opatření navržených během procesu EIA (návrh protihlukových opatření, minimalizace prašnosti, návrh POV s ohledem na obyvatelstvo). Nově vystavěná obytná zástavba v okolí posuzované stavby se nachází na plochách, které byly v roce 2009 vymezeny v ÚPD jednotlivých obcí jako plochy pro výhledovou zástavbu a jako takové byly posouzeny již v Dokumentace EIA (2009). Z hlediska veřejného zdraví vychází závěry z aktualizovaného hlukového a imisního posouzení. </w:t>
      </w:r>
      <w:r w:rsidRPr="00757314">
        <w:rPr>
          <w:rFonts w:ascii="Arial" w:hAnsi="Arial" w:cs="Arial"/>
        </w:rPr>
        <w:t>Z hlediska změn v územních plánech jednotlivých dotčených obcí, v obytné zástavbě v dotčeném území a v posouzení ovlivnění obyvatelstva a veřejného zdraví nenastaly významné změny oproti stavu v době zpracování Dokumentace EIA v roce 2009.</w:t>
      </w:r>
      <w:r w:rsidRPr="00483A73">
        <w:rPr>
          <w:rFonts w:ascii="Arial" w:hAnsi="Arial" w:cs="Arial"/>
          <w:i/>
          <w:iCs/>
        </w:rPr>
        <w:t xml:space="preserve"> </w:t>
      </w:r>
    </w:p>
    <w:p w14:paraId="49CADFB8" w14:textId="77777777" w:rsidR="009707C0" w:rsidRPr="009707C0" w:rsidRDefault="009707C0" w:rsidP="00A04F46">
      <w:pPr>
        <w:rPr>
          <w:rFonts w:ascii="Arial" w:hAnsi="Arial" w:cs="Arial"/>
        </w:rPr>
      </w:pPr>
    </w:p>
    <w:p w14:paraId="47C00DCD" w14:textId="5FBD0906" w:rsidR="00757314" w:rsidRPr="009649EF" w:rsidRDefault="00757314" w:rsidP="00757314">
      <w:pPr>
        <w:rPr>
          <w:rFonts w:ascii="Arial" w:hAnsi="Arial" w:cs="Arial"/>
          <w:i/>
          <w:iCs/>
        </w:rPr>
      </w:pPr>
      <w:r w:rsidRPr="00757314">
        <w:rPr>
          <w:rFonts w:ascii="Arial" w:hAnsi="Arial" w:cs="Arial"/>
          <w:i/>
          <w:iCs/>
        </w:rPr>
        <w:t xml:space="preserve">Z hlediska změn v územních plánech jednotlivých dotčených obcí, v obytné zástavbě v dotčeném území a v posouzení ovlivnění obyvatelstva a veřejného zdraví nenastaly významné změny oproti stavu v době zpracování Dokumentace EIA v roce 2009. </w:t>
      </w:r>
      <w:r w:rsidR="009649EF" w:rsidRPr="009649EF">
        <w:rPr>
          <w:rFonts w:ascii="Arial" w:hAnsi="Arial" w:cs="Arial"/>
          <w:i/>
          <w:iCs/>
        </w:rPr>
        <w:t>Nejedná se o změny podmínek v dotčeném území, které by mohly generovat nové významné vlivy záměru na životní prostředí a veřejné zdraví.</w:t>
      </w:r>
    </w:p>
    <w:p w14:paraId="77FB6C82" w14:textId="77777777" w:rsidR="009707C0" w:rsidRDefault="009707C0" w:rsidP="00A04F46">
      <w:pPr>
        <w:rPr>
          <w:rFonts w:ascii="Arial" w:hAnsi="Arial" w:cs="Arial"/>
        </w:rPr>
      </w:pPr>
    </w:p>
    <w:p w14:paraId="740CA359" w14:textId="77777777" w:rsidR="002E7148" w:rsidRPr="002E7148" w:rsidRDefault="002E7148" w:rsidP="00A04F46">
      <w:pPr>
        <w:rPr>
          <w:rFonts w:ascii="Arial" w:hAnsi="Arial" w:cs="Arial"/>
          <w:i/>
          <w:iCs/>
        </w:rPr>
      </w:pPr>
      <w:r w:rsidRPr="002E7148">
        <w:rPr>
          <w:rFonts w:ascii="Arial" w:hAnsi="Arial" w:cs="Arial"/>
          <w:i/>
          <w:iCs/>
        </w:rPr>
        <w:t xml:space="preserve">Obyvatelstvo a veřejné zdraví </w:t>
      </w:r>
    </w:p>
    <w:p w14:paraId="6BF30FED" w14:textId="77777777" w:rsidR="002E7148" w:rsidRDefault="002E7148" w:rsidP="00A04F46">
      <w:pPr>
        <w:rPr>
          <w:rFonts w:ascii="Arial" w:hAnsi="Arial" w:cs="Arial"/>
        </w:rPr>
      </w:pPr>
    </w:p>
    <w:p w14:paraId="3912EBB5" w14:textId="77777777" w:rsidR="007B209F" w:rsidRPr="007B209F" w:rsidRDefault="007B209F" w:rsidP="00E00AC0">
      <w:pPr>
        <w:rPr>
          <w:rFonts w:ascii="Arial" w:hAnsi="Arial" w:cs="Arial"/>
        </w:rPr>
      </w:pPr>
      <w:r w:rsidRPr="007B209F">
        <w:rPr>
          <w:rFonts w:ascii="Arial" w:hAnsi="Arial" w:cs="Arial"/>
        </w:rPr>
        <w:t xml:space="preserve">Při posouzení variant z hlediska vlivu na veřejné zdraví představují klíčové faktory hlukové a imisní zatížení. </w:t>
      </w:r>
    </w:p>
    <w:p w14:paraId="19E4CCA1" w14:textId="1E9C718E" w:rsidR="00483A73" w:rsidRPr="00483A73" w:rsidRDefault="00483A73" w:rsidP="00E00AC0">
      <w:pPr>
        <w:rPr>
          <w:rFonts w:ascii="Arial" w:hAnsi="Arial" w:cs="Arial"/>
        </w:rPr>
      </w:pPr>
      <w:r w:rsidRPr="00483A73">
        <w:rPr>
          <w:rFonts w:ascii="Arial" w:hAnsi="Arial" w:cs="Arial"/>
        </w:rPr>
        <w:t xml:space="preserve">Výsledky studie „Hodnocení zdravotních rizik pro záměr „Přeložka silnice I/46 Týneček – Šternberk“ (Prof. MUDr. Jaroslav </w:t>
      </w:r>
      <w:proofErr w:type="spellStart"/>
      <w:r w:rsidRPr="00483A73">
        <w:rPr>
          <w:rFonts w:ascii="Arial" w:hAnsi="Arial" w:cs="Arial"/>
        </w:rPr>
        <w:t>Kotulán</w:t>
      </w:r>
      <w:proofErr w:type="spellEnd"/>
      <w:r w:rsidRPr="00483A73">
        <w:rPr>
          <w:rFonts w:ascii="Arial" w:hAnsi="Arial" w:cs="Arial"/>
        </w:rPr>
        <w:t xml:space="preserve">, CSc. podklad pro Dokumentaci EIA 2009) byly revidovány na základě zjištění uvedených v kapitole  „Ovzduší“ a „Hluk“. </w:t>
      </w:r>
      <w:r w:rsidR="007B209F">
        <w:rPr>
          <w:rFonts w:ascii="Arial" w:hAnsi="Arial" w:cs="Arial"/>
        </w:rPr>
        <w:br/>
      </w:r>
      <w:r w:rsidRPr="00483A73">
        <w:rPr>
          <w:rFonts w:ascii="Arial" w:hAnsi="Arial" w:cs="Arial"/>
        </w:rPr>
        <w:t>Při definování změn, ke kterým došlo od zpracování Dokumentace EIA a které mají současně zdravotní význam, je závěr takový, že se jedná pouze o změnu predikce intenzit dopravy a z ní vycházející odchylky v hlukovém a imisním zatížení dotčeného území. Vyhodnocena byla především místa, kde se trasa připravované silnice přibližuje obytnému území. Takovéto potenciálně dotčené lokality byly vybrány pro analýzu znečišťování ovzduší i pro rušení hlukem. Podkladem k hodnocení byly aktualizované údaje uvedené v kapitolách „Ovzduší“ a „Hluk“.</w:t>
      </w:r>
    </w:p>
    <w:p w14:paraId="66353996" w14:textId="6F37DC26" w:rsidR="00483A73" w:rsidRPr="00483A73" w:rsidRDefault="00483A73" w:rsidP="00E00AC0">
      <w:pPr>
        <w:rPr>
          <w:rFonts w:ascii="Arial" w:hAnsi="Arial" w:cs="Arial"/>
        </w:rPr>
      </w:pPr>
      <w:r w:rsidRPr="00483A73">
        <w:rPr>
          <w:rFonts w:ascii="Arial" w:hAnsi="Arial" w:cs="Arial"/>
        </w:rPr>
        <w:lastRenderedPageBreak/>
        <w:t>Na základě těchto skutečností je možno konstatovat, že údaje pro zdravotní účinky hluku charakterizované v původní dokumentaci EIA zůstávají nadále v platnosti a jsou plně použitelné i pro současnou prognózu založenou na aktualizovaných podkladech.</w:t>
      </w:r>
    </w:p>
    <w:p w14:paraId="35E6CCCB" w14:textId="0CEB6E22" w:rsidR="00757314" w:rsidRDefault="00483A73" w:rsidP="00E00AC0">
      <w:pPr>
        <w:rPr>
          <w:rFonts w:ascii="Arial" w:hAnsi="Arial" w:cs="Arial"/>
        </w:rPr>
      </w:pPr>
      <w:r w:rsidRPr="00483A73">
        <w:rPr>
          <w:rFonts w:ascii="Arial" w:hAnsi="Arial" w:cs="Arial"/>
        </w:rPr>
        <w:t>K</w:t>
      </w:r>
      <w:r w:rsidR="00E00AC0" w:rsidRPr="00483A73">
        <w:rPr>
          <w:rFonts w:ascii="Arial" w:hAnsi="Arial" w:cs="Arial"/>
        </w:rPr>
        <w:t xml:space="preserve"> prognózám škodlivin v ovzduší </w:t>
      </w:r>
      <w:r w:rsidRPr="00483A73">
        <w:rPr>
          <w:rFonts w:ascii="Arial" w:hAnsi="Arial" w:cs="Arial"/>
        </w:rPr>
        <w:t xml:space="preserve">lze </w:t>
      </w:r>
      <w:r w:rsidR="00E00AC0" w:rsidRPr="00483A73">
        <w:rPr>
          <w:rFonts w:ascii="Arial" w:hAnsi="Arial" w:cs="Arial"/>
        </w:rPr>
        <w:t>konstatovat, že i když jsou výsledky podle výpočtů z aktualizovaných údajů oproti Dokumentaci EIA místy odlišné, zůstávají nadále spolehlivě a většinou velmi výrazně pod stanovenými limity, takže nemají zdravotní význam a výsledky zdravotního hodnocení na základě zaktualizovaných podkladů zůstávají nadále v platnosti.</w:t>
      </w:r>
      <w:r w:rsidR="00757314">
        <w:rPr>
          <w:rFonts w:ascii="Arial" w:hAnsi="Arial" w:cs="Arial"/>
        </w:rPr>
        <w:t xml:space="preserve"> </w:t>
      </w:r>
      <w:r w:rsidR="00E00AC0" w:rsidRPr="00757314">
        <w:rPr>
          <w:rFonts w:ascii="Arial" w:hAnsi="Arial" w:cs="Arial"/>
        </w:rPr>
        <w:t xml:space="preserve">Situace popsaná v rámci Dokumentace EIA z hlediska ochrany obyvatelstva nedoznala žádných významných změn. </w:t>
      </w:r>
    </w:p>
    <w:p w14:paraId="3EECCC3E" w14:textId="77777777" w:rsidR="00700B66" w:rsidRPr="00757314" w:rsidRDefault="00700B66" w:rsidP="00E00AC0">
      <w:pPr>
        <w:rPr>
          <w:rFonts w:ascii="Arial" w:hAnsi="Arial" w:cs="Arial"/>
        </w:rPr>
      </w:pPr>
    </w:p>
    <w:p w14:paraId="5E4F1CDE" w14:textId="77777777" w:rsidR="002309AB" w:rsidRPr="009649EF" w:rsidRDefault="00757314" w:rsidP="002309AB">
      <w:pPr>
        <w:rPr>
          <w:rFonts w:ascii="Arial" w:hAnsi="Arial" w:cs="Arial"/>
          <w:i/>
          <w:iCs/>
        </w:rPr>
      </w:pPr>
      <w:r w:rsidRPr="00757314">
        <w:rPr>
          <w:rFonts w:ascii="Arial" w:hAnsi="Arial" w:cs="Arial"/>
          <w:i/>
          <w:iCs/>
        </w:rPr>
        <w:t xml:space="preserve">Situace popsaná v rámci Dokumentace EIA z hlediska ochrany obyvatelstva nedoznala žádných významných změn. </w:t>
      </w:r>
      <w:r w:rsidR="002309AB" w:rsidRPr="009649EF">
        <w:rPr>
          <w:rFonts w:ascii="Arial" w:hAnsi="Arial" w:cs="Arial"/>
          <w:i/>
          <w:iCs/>
        </w:rPr>
        <w:t>Nejedná se o změny podmínek v dotčeném území, které by mohly generovat nové významné vlivy záměru na životní prostředí a veřejné zdraví.</w:t>
      </w:r>
    </w:p>
    <w:p w14:paraId="72856219" w14:textId="77777777" w:rsidR="002E7148" w:rsidRDefault="002E7148" w:rsidP="00A04F46">
      <w:pPr>
        <w:rPr>
          <w:rFonts w:ascii="Arial" w:hAnsi="Arial" w:cs="Arial"/>
        </w:rPr>
      </w:pPr>
    </w:p>
    <w:p w14:paraId="58384EBE" w14:textId="77777777" w:rsidR="002E7148" w:rsidRPr="002E7148" w:rsidRDefault="002E7148" w:rsidP="00A04F46">
      <w:pPr>
        <w:rPr>
          <w:rFonts w:ascii="Arial" w:hAnsi="Arial" w:cs="Arial"/>
          <w:i/>
          <w:iCs/>
        </w:rPr>
      </w:pPr>
      <w:r w:rsidRPr="002E7148">
        <w:rPr>
          <w:rFonts w:ascii="Arial" w:hAnsi="Arial" w:cs="Arial"/>
          <w:i/>
          <w:iCs/>
        </w:rPr>
        <w:t xml:space="preserve">Intenzity dopravy </w:t>
      </w:r>
    </w:p>
    <w:p w14:paraId="278345C8" w14:textId="77777777" w:rsidR="002E7148" w:rsidRDefault="002E7148" w:rsidP="00A04F46">
      <w:pPr>
        <w:rPr>
          <w:rFonts w:ascii="Arial" w:hAnsi="Arial" w:cs="Arial"/>
        </w:rPr>
      </w:pPr>
    </w:p>
    <w:p w14:paraId="600D1B77" w14:textId="4238C20A" w:rsidR="000004A9" w:rsidRPr="00757314" w:rsidRDefault="000004A9" w:rsidP="00A04F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Součástí podkladu byla </w:t>
      </w:r>
      <w:r w:rsidRPr="000004A9">
        <w:rPr>
          <w:rFonts w:ascii="Arial" w:hAnsi="Arial" w:cs="Arial"/>
        </w:rPr>
        <w:t>Aktualizovaná studie intenzit dopravy</w:t>
      </w:r>
      <w:r>
        <w:rPr>
          <w:rFonts w:ascii="Arial" w:hAnsi="Arial" w:cs="Arial"/>
        </w:rPr>
        <w:t>.</w:t>
      </w:r>
      <w:r w:rsidRPr="000004A9">
        <w:rPr>
          <w:rFonts w:ascii="Arial" w:hAnsi="Arial" w:cs="Arial"/>
        </w:rPr>
        <w:t xml:space="preserve"> Porovnání bylo provedeno pro výhledový rok 2040, který sloužil pro další výpočty provedené v rámci Hlukové a Rozptylové studie. Uvedené hodnoty zahrnují ve variantě Aktivní vliv navazujících záměrů, tedy přeložky silnice I/46 Olomouc – východní tangenta a přeložky silnice I/46 Šternberk obchvat – předpokládají tedy kompletní přeložku silnice I/46 mezi dálnicí D35 a Šternberkem</w:t>
      </w:r>
      <w:r>
        <w:rPr>
          <w:rFonts w:ascii="Arial" w:hAnsi="Arial" w:cs="Arial"/>
        </w:rPr>
        <w:t>,</w:t>
      </w:r>
      <w:r w:rsidRPr="000004A9">
        <w:rPr>
          <w:rFonts w:ascii="Arial" w:hAnsi="Arial" w:cs="Arial"/>
        </w:rPr>
        <w:t xml:space="preserve"> a tedy i nejvyšší možné předpokládané zatížení uvedeného tahu. Hlavní rozdíl mezi hodnotami použitými v Dokumentaci EIA z roku 2009 a aktualizovanými hodnotami z roku 2020 je především rok Celostátního sčítání dopravy (CSD), ke kterému jsou intenzity vztaženy</w:t>
      </w:r>
      <w:r w:rsidR="00757314">
        <w:rPr>
          <w:rFonts w:ascii="Arial" w:hAnsi="Arial" w:cs="Arial"/>
        </w:rPr>
        <w:t>. V</w:t>
      </w:r>
      <w:r w:rsidRPr="000004A9">
        <w:rPr>
          <w:rFonts w:ascii="Arial" w:hAnsi="Arial" w:cs="Arial"/>
        </w:rPr>
        <w:t xml:space="preserve"> Dokumentaci EIA byly hodnoty vztaženy k CSD z roku 2005, aktualizované hodnoty jsou vztaženy k CSD 2016. </w:t>
      </w:r>
      <w:r w:rsidRPr="00757314">
        <w:rPr>
          <w:rFonts w:ascii="Arial" w:hAnsi="Arial" w:cs="Arial"/>
        </w:rPr>
        <w:t>Na základě aktuálních podkladů byly nově zpracovány aktualizované hodnoty intenzity dopravy na silniční síti v dotčeném území. Prognóza k roku 2040 předpokládá pro variantu Nulovou celkově výrazně nižší intenzity dopravy. U varianty Aktivní došlo k mírnému nárůstu osobních vozidel, ale výrazně se snížila nákladní vozidla. Vyhodnocení těchto změn na hlukovou a imisní situaci je provedeno v navazujících kapitolách. K problematice intenzit dopravy se nevztahují žádné podmínky Závazného stanoviska k ověření souladu. Situace popsaná v rámci Dokumentace EIA vzhledem k intenzitám dopravy nedoznala žádných významných změn.</w:t>
      </w:r>
    </w:p>
    <w:p w14:paraId="469A91DF" w14:textId="77777777" w:rsidR="000004A9" w:rsidRDefault="000004A9" w:rsidP="00A04F46">
      <w:pPr>
        <w:rPr>
          <w:rFonts w:ascii="Arial" w:hAnsi="Arial" w:cs="Arial"/>
        </w:rPr>
      </w:pPr>
    </w:p>
    <w:p w14:paraId="0D569C77" w14:textId="756A1F1F" w:rsidR="002309AB" w:rsidRPr="009649EF" w:rsidRDefault="009649EF" w:rsidP="002309AB">
      <w:pPr>
        <w:rPr>
          <w:rFonts w:ascii="Arial" w:hAnsi="Arial" w:cs="Arial"/>
          <w:i/>
          <w:iCs/>
        </w:rPr>
      </w:pPr>
      <w:r w:rsidRPr="009649EF">
        <w:rPr>
          <w:rFonts w:ascii="Arial" w:hAnsi="Arial" w:cs="Arial"/>
          <w:i/>
          <w:iCs/>
        </w:rPr>
        <w:t>Vliv aktualizovaných hodnot intenzity dopravy byl vyhodnocen zejména ve vztahu k ovzduší a hluku a prokázalo se, že nenastaly významné změny.</w:t>
      </w:r>
      <w:r w:rsidR="002309AB" w:rsidRPr="002309AB">
        <w:rPr>
          <w:rFonts w:ascii="Arial" w:hAnsi="Arial" w:cs="Arial"/>
          <w:i/>
          <w:iCs/>
        </w:rPr>
        <w:t xml:space="preserve"> </w:t>
      </w:r>
      <w:r w:rsidR="002309AB" w:rsidRPr="009649EF">
        <w:rPr>
          <w:rFonts w:ascii="Arial" w:hAnsi="Arial" w:cs="Arial"/>
          <w:i/>
          <w:iCs/>
        </w:rPr>
        <w:t>Nejedná se o změny podmínek v dotčeném území, které by mohly generovat nové významné vlivy záměru na životní prostředí a veřejné zdraví.</w:t>
      </w:r>
    </w:p>
    <w:p w14:paraId="114A9B73" w14:textId="4B14BB81" w:rsidR="002E7148" w:rsidRPr="009649EF" w:rsidRDefault="002E7148" w:rsidP="00A04F46">
      <w:pPr>
        <w:rPr>
          <w:rFonts w:ascii="Arial" w:hAnsi="Arial" w:cs="Arial"/>
          <w:i/>
          <w:iCs/>
        </w:rPr>
      </w:pPr>
    </w:p>
    <w:p w14:paraId="32DABC24" w14:textId="77777777" w:rsidR="002E7148" w:rsidRPr="002E7148" w:rsidRDefault="002E7148" w:rsidP="00A04F46">
      <w:pPr>
        <w:rPr>
          <w:rFonts w:ascii="Arial" w:hAnsi="Arial" w:cs="Arial"/>
          <w:i/>
          <w:iCs/>
        </w:rPr>
      </w:pPr>
      <w:r w:rsidRPr="002E7148">
        <w:rPr>
          <w:rFonts w:ascii="Arial" w:hAnsi="Arial" w:cs="Arial"/>
          <w:i/>
          <w:iCs/>
        </w:rPr>
        <w:t xml:space="preserve">Ovzduší </w:t>
      </w:r>
    </w:p>
    <w:p w14:paraId="52BC7FFE" w14:textId="77777777" w:rsidR="002E7148" w:rsidRDefault="002E7148" w:rsidP="00A04F46">
      <w:pPr>
        <w:rPr>
          <w:rFonts w:ascii="Arial" w:hAnsi="Arial" w:cs="Arial"/>
        </w:rPr>
      </w:pPr>
    </w:p>
    <w:p w14:paraId="06153D88" w14:textId="77777777" w:rsidR="009649EF" w:rsidRDefault="00757314" w:rsidP="00A04F46">
      <w:pPr>
        <w:rPr>
          <w:rFonts w:ascii="Arial" w:hAnsi="Arial" w:cs="Arial"/>
        </w:rPr>
      </w:pPr>
      <w:r w:rsidRPr="009649EF">
        <w:rPr>
          <w:rFonts w:ascii="Arial" w:hAnsi="Arial" w:cs="Arial"/>
        </w:rPr>
        <w:t xml:space="preserve">Pro stanovení stávající úrovně znečištění byly použity, v souladu s požadavky zákona č. 201/2012 Sb., o ochraně ovzduší, mapy klouzavého pětiletého průměru koncentrací pro jednotlivé znečišťující látky za období 2007-2011, 2009-2013, 2011-2015, 2013-2017 a 2014-2018, zveřejněné Ministerstvem životního prostředí prostřednictvím Českého hydrometeorologického ústavu na internetových stránkách. Doplněny jsou aktuální hodnoty z nejbližších měřicích stanic Českého hydrometeorologického ústavu Olomouc </w:t>
      </w:r>
      <w:proofErr w:type="spellStart"/>
      <w:r w:rsidRPr="009649EF">
        <w:rPr>
          <w:rFonts w:ascii="Arial" w:hAnsi="Arial" w:cs="Arial"/>
        </w:rPr>
        <w:t>Hejčín</w:t>
      </w:r>
      <w:proofErr w:type="spellEnd"/>
      <w:r w:rsidRPr="009649EF">
        <w:rPr>
          <w:rFonts w:ascii="Arial" w:hAnsi="Arial" w:cs="Arial"/>
        </w:rPr>
        <w:t xml:space="preserve"> (MOLJ) a Zdravotního ústavu Ostrava Olomouc-Šmeralova (MOLS). </w:t>
      </w:r>
      <w:r w:rsidRPr="009649EF">
        <w:rPr>
          <w:rFonts w:ascii="Arial" w:hAnsi="Arial" w:cs="Arial"/>
        </w:rPr>
        <w:lastRenderedPageBreak/>
        <w:t>Z</w:t>
      </w:r>
      <w:r w:rsidR="009649EF">
        <w:rPr>
          <w:rFonts w:ascii="Arial" w:hAnsi="Arial" w:cs="Arial"/>
        </w:rPr>
        <w:t>e stanovených hodnot</w:t>
      </w:r>
      <w:r w:rsidRPr="009649EF">
        <w:rPr>
          <w:rFonts w:ascii="Arial" w:hAnsi="Arial" w:cs="Arial"/>
        </w:rPr>
        <w:t xml:space="preserve"> vyplývá, že v zájmovém území dochází k překračování ročního limitu pro </w:t>
      </w:r>
      <w:proofErr w:type="spellStart"/>
      <w:r w:rsidRPr="009649EF">
        <w:rPr>
          <w:rFonts w:ascii="Arial" w:hAnsi="Arial" w:cs="Arial"/>
        </w:rPr>
        <w:t>benzo</w:t>
      </w:r>
      <w:proofErr w:type="spellEnd"/>
      <w:r w:rsidRPr="009649EF">
        <w:rPr>
          <w:rFonts w:ascii="Arial" w:hAnsi="Arial" w:cs="Arial"/>
        </w:rPr>
        <w:t xml:space="preserve">[a]pyren a v návaznosti na zástavbu sídel může docházet </w:t>
      </w:r>
      <w:r w:rsidR="009649EF">
        <w:rPr>
          <w:rFonts w:ascii="Arial" w:hAnsi="Arial" w:cs="Arial"/>
        </w:rPr>
        <w:br/>
      </w:r>
      <w:r w:rsidRPr="009649EF">
        <w:rPr>
          <w:rFonts w:ascii="Arial" w:hAnsi="Arial" w:cs="Arial"/>
        </w:rPr>
        <w:t>k překračování denního limitu pro PM</w:t>
      </w:r>
      <w:r w:rsidRPr="009649EF">
        <w:rPr>
          <w:rFonts w:ascii="Arial" w:hAnsi="Arial" w:cs="Arial"/>
          <w:vertAlign w:val="subscript"/>
        </w:rPr>
        <w:t>10</w:t>
      </w:r>
      <w:r w:rsidRPr="009649EF">
        <w:rPr>
          <w:rFonts w:ascii="Arial" w:hAnsi="Arial" w:cs="Arial"/>
        </w:rPr>
        <w:t xml:space="preserve">. Oproti roku 2009 dochází u </w:t>
      </w:r>
      <w:proofErr w:type="spellStart"/>
      <w:r w:rsidRPr="009649EF">
        <w:rPr>
          <w:rFonts w:ascii="Arial" w:hAnsi="Arial" w:cs="Arial"/>
        </w:rPr>
        <w:t>benzo</w:t>
      </w:r>
      <w:proofErr w:type="spellEnd"/>
      <w:r w:rsidRPr="009649EF">
        <w:rPr>
          <w:rFonts w:ascii="Arial" w:hAnsi="Arial" w:cs="Arial"/>
        </w:rPr>
        <w:t xml:space="preserve">[a]pyrenu </w:t>
      </w:r>
      <w:r w:rsidR="009649EF">
        <w:rPr>
          <w:rFonts w:ascii="Arial" w:hAnsi="Arial" w:cs="Arial"/>
        </w:rPr>
        <w:br/>
      </w:r>
      <w:r w:rsidRPr="009649EF">
        <w:rPr>
          <w:rFonts w:ascii="Arial" w:hAnsi="Arial" w:cs="Arial"/>
        </w:rPr>
        <w:t>k zhoršování situace. Tento problém se však týká prakticky celého území Olomouckého kraje a může souviset s plošně rozsáhlými, hůře provětrávanými úvaly. Vyšší hodnoty jsou obecně vázány na zástavbu sídel.</w:t>
      </w:r>
    </w:p>
    <w:p w14:paraId="6B4B2E59" w14:textId="6E9DD297" w:rsidR="00757314" w:rsidRPr="009649EF" w:rsidRDefault="009649EF" w:rsidP="00A04F46">
      <w:pPr>
        <w:rPr>
          <w:rFonts w:ascii="Arial" w:hAnsi="Arial" w:cs="Arial"/>
        </w:rPr>
      </w:pPr>
      <w:r w:rsidRPr="009649EF">
        <w:rPr>
          <w:rFonts w:ascii="Arial" w:hAnsi="Arial" w:cs="Arial"/>
        </w:rPr>
        <w:t xml:space="preserve">V roce 2020 byla pro výpočet </w:t>
      </w:r>
      <w:r>
        <w:rPr>
          <w:rFonts w:ascii="Arial" w:hAnsi="Arial" w:cs="Arial"/>
        </w:rPr>
        <w:t xml:space="preserve"> </w:t>
      </w:r>
      <w:r w:rsidRPr="009649EF">
        <w:rPr>
          <w:rFonts w:ascii="Arial" w:hAnsi="Arial" w:cs="Arial"/>
        </w:rPr>
        <w:t xml:space="preserve">množství emisí použita aktualizovaná prognóza intenzit dopravy a zejména aktuální databáze MEFA, verze MEFA 13. Významnou změnou databáze MEFA 13 bylo zvýšení emise </w:t>
      </w:r>
      <w:proofErr w:type="spellStart"/>
      <w:r w:rsidRPr="009649EF">
        <w:rPr>
          <w:rFonts w:ascii="Arial" w:hAnsi="Arial" w:cs="Arial"/>
        </w:rPr>
        <w:t>benzo</w:t>
      </w:r>
      <w:proofErr w:type="spellEnd"/>
      <w:r w:rsidRPr="009649EF">
        <w:rPr>
          <w:rFonts w:ascii="Arial" w:hAnsi="Arial" w:cs="Arial"/>
        </w:rPr>
        <w:t xml:space="preserve">[a]pyrenu a doplnění </w:t>
      </w:r>
      <w:proofErr w:type="spellStart"/>
      <w:r w:rsidRPr="009649EF">
        <w:rPr>
          <w:rFonts w:ascii="Arial" w:hAnsi="Arial" w:cs="Arial"/>
        </w:rPr>
        <w:t>resuspenze</w:t>
      </w:r>
      <w:proofErr w:type="spellEnd"/>
      <w:r w:rsidRPr="009649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9649EF">
        <w:rPr>
          <w:rFonts w:ascii="Arial" w:hAnsi="Arial" w:cs="Arial"/>
        </w:rPr>
        <w:t xml:space="preserve">u </w:t>
      </w:r>
      <w:proofErr w:type="spellStart"/>
      <w:r w:rsidRPr="009649EF">
        <w:rPr>
          <w:rFonts w:ascii="Arial" w:hAnsi="Arial" w:cs="Arial"/>
        </w:rPr>
        <w:t>benzo</w:t>
      </w:r>
      <w:proofErr w:type="spellEnd"/>
      <w:r w:rsidRPr="009649EF">
        <w:rPr>
          <w:rFonts w:ascii="Arial" w:hAnsi="Arial" w:cs="Arial"/>
        </w:rPr>
        <w:t>[a]pyrenu a prachových částic S časovým odstupem obou hodnocení se pozitivně projevuje změna emisních faktorů, resp. jejich pozitivní projev v změně dynamické skladby vozového parku předpokládající postupné navyšování podílu vozidel splňujících vyšší normu EURO.</w:t>
      </w:r>
      <w:r w:rsidR="00335E13">
        <w:rPr>
          <w:rFonts w:ascii="Arial" w:hAnsi="Arial" w:cs="Arial"/>
        </w:rPr>
        <w:t xml:space="preserve"> P</w:t>
      </w:r>
      <w:r w:rsidRPr="009649EF">
        <w:rPr>
          <w:rFonts w:ascii="Arial" w:hAnsi="Arial" w:cs="Arial"/>
        </w:rPr>
        <w:t xml:space="preserve">orovnány </w:t>
      </w:r>
      <w:r w:rsidR="00335E13">
        <w:rPr>
          <w:rFonts w:ascii="Arial" w:hAnsi="Arial" w:cs="Arial"/>
        </w:rPr>
        <w:t xml:space="preserve">jsou </w:t>
      </w:r>
      <w:r w:rsidRPr="009649EF">
        <w:rPr>
          <w:rFonts w:ascii="Arial" w:hAnsi="Arial" w:cs="Arial"/>
        </w:rPr>
        <w:t xml:space="preserve">vypočtené emise z Dokumentace EIA (2008 –MEFA02) s emisemi z databáze MEFA13 pro dvě varianty dynamické skladby vozového parku, a to rok 2010 a 2015. Počet vozidel je ve všech případech vztažen k roku 2040. </w:t>
      </w:r>
      <w:r w:rsidR="00335E13">
        <w:rPr>
          <w:rFonts w:ascii="Arial" w:hAnsi="Arial" w:cs="Arial"/>
        </w:rPr>
        <w:t>M</w:t>
      </w:r>
      <w:r w:rsidRPr="009649EF">
        <w:rPr>
          <w:rFonts w:ascii="Arial" w:hAnsi="Arial" w:cs="Arial"/>
        </w:rPr>
        <w:t xml:space="preserve">ezi výpočty z roku 2009 a 2020 </w:t>
      </w:r>
      <w:r w:rsidR="00335E13">
        <w:rPr>
          <w:rFonts w:ascii="Arial" w:hAnsi="Arial" w:cs="Arial"/>
        </w:rPr>
        <w:t xml:space="preserve">je </w:t>
      </w:r>
      <w:r w:rsidRPr="009649EF">
        <w:rPr>
          <w:rFonts w:ascii="Arial" w:hAnsi="Arial" w:cs="Arial"/>
        </w:rPr>
        <w:t>patrný pokles emisí CO, NO</w:t>
      </w:r>
      <w:r w:rsidRPr="00335E13">
        <w:rPr>
          <w:rFonts w:ascii="Arial" w:hAnsi="Arial" w:cs="Arial"/>
          <w:vertAlign w:val="subscript"/>
        </w:rPr>
        <w:t>2</w:t>
      </w:r>
      <w:r w:rsidRPr="009649EF">
        <w:rPr>
          <w:rFonts w:ascii="Arial" w:hAnsi="Arial" w:cs="Arial"/>
        </w:rPr>
        <w:t xml:space="preserve"> a benzenu a výrazný pokles emisí dusíku (</w:t>
      </w:r>
      <w:proofErr w:type="spellStart"/>
      <w:r w:rsidRPr="009649EF">
        <w:rPr>
          <w:rFonts w:ascii="Arial" w:hAnsi="Arial" w:cs="Arial"/>
        </w:rPr>
        <w:t>NOx</w:t>
      </w:r>
      <w:proofErr w:type="spellEnd"/>
      <w:r w:rsidRPr="009649EF">
        <w:rPr>
          <w:rFonts w:ascii="Arial" w:hAnsi="Arial" w:cs="Arial"/>
        </w:rPr>
        <w:t xml:space="preserve">), což je dáno verzí MEFA a zlepšením dynamické skladby vozového parku. Verze MEFA a nárůst emisních faktorů a zohlednění </w:t>
      </w:r>
      <w:proofErr w:type="spellStart"/>
      <w:r w:rsidRPr="009649EF">
        <w:rPr>
          <w:rFonts w:ascii="Arial" w:hAnsi="Arial" w:cs="Arial"/>
        </w:rPr>
        <w:t>resuspenze</w:t>
      </w:r>
      <w:proofErr w:type="spellEnd"/>
      <w:r w:rsidRPr="009649EF">
        <w:rPr>
          <w:rFonts w:ascii="Arial" w:hAnsi="Arial" w:cs="Arial"/>
        </w:rPr>
        <w:t xml:space="preserve"> způsobuje nárůst emise </w:t>
      </w:r>
      <w:proofErr w:type="spellStart"/>
      <w:r w:rsidRPr="009649EF">
        <w:rPr>
          <w:rFonts w:ascii="Arial" w:hAnsi="Arial" w:cs="Arial"/>
        </w:rPr>
        <w:t>benzo</w:t>
      </w:r>
      <w:proofErr w:type="spellEnd"/>
      <w:r w:rsidRPr="009649EF">
        <w:rPr>
          <w:rFonts w:ascii="Arial" w:hAnsi="Arial" w:cs="Arial"/>
        </w:rPr>
        <w:t>[a]pyrenu a PM</w:t>
      </w:r>
      <w:r w:rsidRPr="00335E13">
        <w:rPr>
          <w:rFonts w:ascii="Arial" w:hAnsi="Arial" w:cs="Arial"/>
          <w:vertAlign w:val="subscript"/>
        </w:rPr>
        <w:t>10</w:t>
      </w:r>
      <w:r w:rsidRPr="009649EF">
        <w:rPr>
          <w:rFonts w:ascii="Arial" w:hAnsi="Arial" w:cs="Arial"/>
        </w:rPr>
        <w:t>. Nová MEFA umožňuje také odvodit emise PM</w:t>
      </w:r>
      <w:r w:rsidRPr="00335E13">
        <w:rPr>
          <w:rFonts w:ascii="Arial" w:hAnsi="Arial" w:cs="Arial"/>
          <w:vertAlign w:val="subscript"/>
        </w:rPr>
        <w:t>2.5</w:t>
      </w:r>
      <w:r w:rsidRPr="009649EF">
        <w:rPr>
          <w:rFonts w:ascii="Arial" w:hAnsi="Arial" w:cs="Arial"/>
        </w:rPr>
        <w:t>, které nebyly v roce 2009 počítány.</w:t>
      </w:r>
    </w:p>
    <w:p w14:paraId="1FED59A9" w14:textId="2EA7F6B2" w:rsidR="009649EF" w:rsidRPr="001C6BAD" w:rsidRDefault="006D605D" w:rsidP="00A04F46">
      <w:pPr>
        <w:rPr>
          <w:rFonts w:ascii="Arial" w:hAnsi="Arial" w:cs="Arial"/>
        </w:rPr>
      </w:pPr>
      <w:r w:rsidRPr="006D605D">
        <w:rPr>
          <w:rFonts w:ascii="Arial" w:hAnsi="Arial" w:cs="Arial"/>
        </w:rPr>
        <w:t>Co se týče vlivu na imisní zatížení území, modelový výpočet pro zjištění příspěvku hlavních znečišťujících látek do ovzduší byl přepočítán</w:t>
      </w:r>
      <w:r>
        <w:rPr>
          <w:rFonts w:ascii="Arial" w:hAnsi="Arial" w:cs="Arial"/>
        </w:rPr>
        <w:t xml:space="preserve">. </w:t>
      </w:r>
      <w:r w:rsidR="009649EF" w:rsidRPr="006D605D">
        <w:rPr>
          <w:rFonts w:ascii="Arial" w:hAnsi="Arial" w:cs="Arial"/>
        </w:rPr>
        <w:t>Oproti</w:t>
      </w:r>
      <w:r w:rsidR="009649EF" w:rsidRPr="009649EF">
        <w:rPr>
          <w:rFonts w:ascii="Arial" w:hAnsi="Arial" w:cs="Arial"/>
        </w:rPr>
        <w:t xml:space="preserve"> roku 2009 došlo ke změnám odhadu intenzit dopravy (což má na výsledné imisní zatížení poměrně malý vliv), změnil se odhad emisních příspěvků (ke zvýšení, či snížení došlo v závislosti na sledované znečišťující látce) a změnil se přístup k způsobu výpočtu liniových zdrojů v metodice SYMOS97 (významný vliv)</w:t>
      </w:r>
      <w:r>
        <w:rPr>
          <w:rFonts w:ascii="Arial" w:hAnsi="Arial" w:cs="Arial"/>
        </w:rPr>
        <w:t>.</w:t>
      </w:r>
      <w:r w:rsidR="001C6BAD">
        <w:rPr>
          <w:rFonts w:ascii="Arial" w:hAnsi="Arial" w:cs="Arial"/>
        </w:rPr>
        <w:t xml:space="preserve"> </w:t>
      </w:r>
      <w:r w:rsidR="009649EF" w:rsidRPr="001C6BAD">
        <w:rPr>
          <w:rFonts w:ascii="Arial" w:hAnsi="Arial" w:cs="Arial"/>
        </w:rPr>
        <w:t xml:space="preserve">Po přepočtu hodnocených variant na aktualizované intenzity dopravy bylo zjištěno, že aktualizované hodnoty imisního zatížení se liší oproti hodnotám vypočteným v Dokumentaci EIA z roku 2009. Zjištěné změny však nemají vliv na závěry dosažené v Dokumentaci EIA z roku 2009. </w:t>
      </w:r>
      <w:r w:rsidR="001C6BAD">
        <w:rPr>
          <w:rFonts w:ascii="Arial" w:hAnsi="Arial" w:cs="Arial"/>
        </w:rPr>
        <w:br/>
      </w:r>
      <w:r w:rsidR="009649EF" w:rsidRPr="001C6BAD">
        <w:rPr>
          <w:rFonts w:ascii="Arial" w:hAnsi="Arial" w:cs="Arial"/>
        </w:rPr>
        <w:t xml:space="preserve">Z hlediska ochrany ovzduší nenastaly významné změny oproti stavu v době zpracování Dokumentace EIA v roce 2009. Situace popsaná v rámci Dokumentace EIA z hlediska ochrany ovzduší nedoznala významných změn. </w:t>
      </w:r>
    </w:p>
    <w:p w14:paraId="4688889D" w14:textId="77777777" w:rsidR="009649EF" w:rsidRDefault="009649EF" w:rsidP="00A04F46">
      <w:pPr>
        <w:rPr>
          <w:rFonts w:ascii="Arial" w:hAnsi="Arial" w:cs="Arial"/>
        </w:rPr>
      </w:pPr>
    </w:p>
    <w:p w14:paraId="756FB9E7" w14:textId="77777777" w:rsidR="002E7148" w:rsidRPr="002E7148" w:rsidRDefault="002E7148" w:rsidP="00A04F46">
      <w:pPr>
        <w:rPr>
          <w:rFonts w:ascii="Arial" w:hAnsi="Arial" w:cs="Arial"/>
          <w:i/>
          <w:iCs/>
        </w:rPr>
      </w:pPr>
      <w:r w:rsidRPr="002E7148">
        <w:rPr>
          <w:rFonts w:ascii="Arial" w:hAnsi="Arial" w:cs="Arial"/>
          <w:i/>
          <w:iCs/>
        </w:rPr>
        <w:t xml:space="preserve">Nejedná se o změny podmínek v dotčeném území, které by mohly generovat nové významné vlivy záměru na životní prostředí a veřejné zdraví. </w:t>
      </w:r>
    </w:p>
    <w:p w14:paraId="40C9647E" w14:textId="77777777" w:rsidR="002E7148" w:rsidRPr="002E7148" w:rsidRDefault="002E7148" w:rsidP="00A04F46">
      <w:pPr>
        <w:rPr>
          <w:rFonts w:ascii="Arial" w:hAnsi="Arial" w:cs="Arial"/>
          <w:i/>
          <w:iCs/>
        </w:rPr>
      </w:pPr>
    </w:p>
    <w:p w14:paraId="55D95AC4" w14:textId="77777777" w:rsidR="002E7148" w:rsidRPr="002E7148" w:rsidRDefault="002E7148" w:rsidP="00A04F46">
      <w:pPr>
        <w:rPr>
          <w:rFonts w:ascii="Arial" w:hAnsi="Arial" w:cs="Arial"/>
          <w:i/>
          <w:iCs/>
        </w:rPr>
      </w:pPr>
      <w:r w:rsidRPr="002E7148">
        <w:rPr>
          <w:rFonts w:ascii="Arial" w:hAnsi="Arial" w:cs="Arial"/>
          <w:i/>
          <w:iCs/>
        </w:rPr>
        <w:t xml:space="preserve">Hluk a vibrace </w:t>
      </w:r>
    </w:p>
    <w:p w14:paraId="42793C3B" w14:textId="77777777" w:rsidR="002E7148" w:rsidRDefault="002E7148" w:rsidP="00A04F46">
      <w:pPr>
        <w:rPr>
          <w:rFonts w:ascii="Arial" w:hAnsi="Arial" w:cs="Arial"/>
        </w:rPr>
      </w:pPr>
    </w:p>
    <w:p w14:paraId="59496919" w14:textId="3F419F6E" w:rsidR="001C6BAD" w:rsidRPr="006809B4" w:rsidRDefault="001C6BAD" w:rsidP="00A04F46">
      <w:pPr>
        <w:rPr>
          <w:rFonts w:ascii="Arial" w:hAnsi="Arial" w:cs="Arial"/>
        </w:rPr>
      </w:pPr>
      <w:r w:rsidRPr="006809B4">
        <w:rPr>
          <w:rFonts w:ascii="Arial" w:hAnsi="Arial" w:cs="Arial"/>
        </w:rPr>
        <w:t>Vzhledem k aktualizovaným datům týkajících se dopravního zatížení území bylo následně aktualizován i výpočet hlukového zatížení z dopravy v období provozu záměru. Aktualizace hlukového posouzení spočívala v zadání aktualizovaných vstupních dat do výpočtového modelu, tzn. aktualizované intenzity dopravy v podrobném členění na hodinové intenzity dopravy v denní a noční době pro jednotlivé kategorie vozidel, zvýšení výpočtové rychlosti na navrhované trase I/46 na 100 km/h (v Dokumentaci EIA použito 90 km/h), aktualizovaná polohopisná data zástavby (přesnější poloha jednotlivých domů)</w:t>
      </w:r>
      <w:r w:rsidR="006809B4" w:rsidRPr="006809B4">
        <w:rPr>
          <w:rFonts w:ascii="Arial" w:hAnsi="Arial" w:cs="Arial"/>
        </w:rPr>
        <w:t xml:space="preserve">. </w:t>
      </w:r>
      <w:r w:rsidRPr="006809B4">
        <w:rPr>
          <w:rFonts w:ascii="Arial" w:hAnsi="Arial" w:cs="Arial"/>
        </w:rPr>
        <w:t>Výpočtové body 1 (18) a 2 (19) byly v Dokumentaci EIA zadány u dvou objektů v blízkosti MÚK Týneček, tehdy vedených v katastru nemovitosti jako stavby pro bydlení. V současnosti je pozemek bez staveb (demolice).</w:t>
      </w:r>
      <w:r w:rsidR="006809B4" w:rsidRPr="006809B4">
        <w:rPr>
          <w:rFonts w:ascii="Arial" w:hAnsi="Arial" w:cs="Arial"/>
        </w:rPr>
        <w:t xml:space="preserve"> </w:t>
      </w:r>
      <w:r w:rsidRPr="006809B4">
        <w:rPr>
          <w:rFonts w:ascii="Arial" w:hAnsi="Arial" w:cs="Arial"/>
        </w:rPr>
        <w:t xml:space="preserve">Po přepočtu na aktualizované intenzity dopravy a zpřesnění vstupů do </w:t>
      </w:r>
      <w:r w:rsidRPr="006809B4">
        <w:rPr>
          <w:rFonts w:ascii="Arial" w:hAnsi="Arial" w:cs="Arial"/>
        </w:rPr>
        <w:lastRenderedPageBreak/>
        <w:t xml:space="preserve">modelu bylo zjištěno, že aktualizované hodnoty hluku v jednotlivých výpočtových bodech jsou nižší než vypočtené hodnoty v Dokumentaci EIA z roku 2009 (navýšení o 0,4 dB ve výpočtových bodech 12 a 16 v noční době u aktivní varianty je zcela nevýznamné). Z toho vyplývá, že hodnoty vypočtené a prezentované v Dokumentaci EIA z roku 2009 byly vyšší než aktuálně zjištěné hodnoty a že tedy jsou na straně bezpečnosti výpočtu. Vyhodnocení hlukového zatížení území a návrhy na opatření v Dokumentaci EIA z roku 2009 bylo provedeno i ve vztahu k plochám výhledové zástavby dle ÚPD jednotlivých obcí a sídel. Bylo ověřeno, že veškerá nová zástavba ležící v dosahu vlivů hodnocené stavby leží na těchto plochách, a proto opatření z Dokumentace EIA z roku 2009 lze uplatnit i na aktuálně zastavěné plochy a zůstávají v platnosti. V území zůstává jako zcela dominantní hluk ze silničních komunikací posouzených v rámci hodnocení záměru. Z hlediska hlukového zatížení dotčeného území tedy nenastaly významné změny oproti stavu v době zpracování Dokumentace EIA v roce 2009. </w:t>
      </w:r>
    </w:p>
    <w:p w14:paraId="3C47294A" w14:textId="0D821ACB" w:rsidR="00957610" w:rsidRDefault="00957610" w:rsidP="00A04F46">
      <w:pPr>
        <w:rPr>
          <w:rFonts w:ascii="Arial" w:hAnsi="Arial" w:cs="Arial"/>
        </w:rPr>
      </w:pPr>
    </w:p>
    <w:p w14:paraId="0338F19C" w14:textId="77777777" w:rsidR="002309AB" w:rsidRPr="009649EF" w:rsidRDefault="002309AB" w:rsidP="002309AB">
      <w:pPr>
        <w:rPr>
          <w:rFonts w:ascii="Arial" w:hAnsi="Arial" w:cs="Arial"/>
          <w:i/>
          <w:iCs/>
        </w:rPr>
      </w:pPr>
      <w:r w:rsidRPr="009649EF">
        <w:rPr>
          <w:rFonts w:ascii="Arial" w:hAnsi="Arial" w:cs="Arial"/>
          <w:i/>
          <w:iCs/>
        </w:rPr>
        <w:t>Nejedná se o změny podmínek v dotčeném území, které by mohly generovat nové významné vlivy záměru na životní prostředí a veřejné zdraví.</w:t>
      </w:r>
    </w:p>
    <w:p w14:paraId="01FE3B3C" w14:textId="113320E0" w:rsidR="002379B4" w:rsidRDefault="002379B4" w:rsidP="00A04F46">
      <w:pPr>
        <w:rPr>
          <w:rFonts w:ascii="Arial" w:hAnsi="Arial" w:cs="Arial"/>
          <w:i/>
          <w:iCs/>
        </w:rPr>
      </w:pPr>
    </w:p>
    <w:p w14:paraId="7180EE11" w14:textId="5CA24A02" w:rsidR="002379B4" w:rsidRDefault="002379B4" w:rsidP="00A04F4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Klima</w:t>
      </w:r>
    </w:p>
    <w:p w14:paraId="58FE1D05" w14:textId="77777777" w:rsidR="002379B4" w:rsidRDefault="002379B4" w:rsidP="00A04F46">
      <w:pPr>
        <w:rPr>
          <w:rFonts w:ascii="Arial" w:hAnsi="Arial" w:cs="Arial"/>
          <w:i/>
          <w:iCs/>
        </w:rPr>
      </w:pPr>
    </w:p>
    <w:p w14:paraId="6A5BC42D" w14:textId="74584121" w:rsidR="002379B4" w:rsidRPr="002379B4" w:rsidRDefault="002379B4" w:rsidP="00A04F46">
      <w:pPr>
        <w:rPr>
          <w:rFonts w:ascii="Arial" w:hAnsi="Arial" w:cs="Arial"/>
          <w:i/>
          <w:iCs/>
        </w:rPr>
      </w:pPr>
      <w:r w:rsidRPr="002379B4">
        <w:rPr>
          <w:rFonts w:ascii="Arial" w:hAnsi="Arial" w:cs="Arial"/>
        </w:rPr>
        <w:t xml:space="preserve">V dotčeném území nenastaly změny týkající se klimatických charakteristik. Nově byly doplněny údaje popisující klimatické změny. Tyto změny musí být reflektovány </w:t>
      </w:r>
      <w:r>
        <w:rPr>
          <w:rFonts w:ascii="Arial" w:hAnsi="Arial" w:cs="Arial"/>
        </w:rPr>
        <w:br/>
      </w:r>
      <w:r w:rsidRPr="002379B4">
        <w:rPr>
          <w:rFonts w:ascii="Arial" w:hAnsi="Arial" w:cs="Arial"/>
        </w:rPr>
        <w:t xml:space="preserve">v celospolečenském měřítku a nevyvolávají potřebu nějakého konkrétního opatření </w:t>
      </w:r>
      <w:r>
        <w:rPr>
          <w:rFonts w:ascii="Arial" w:hAnsi="Arial" w:cs="Arial"/>
        </w:rPr>
        <w:br/>
      </w:r>
      <w:r w:rsidRPr="002379B4">
        <w:rPr>
          <w:rFonts w:ascii="Arial" w:hAnsi="Arial" w:cs="Arial"/>
        </w:rPr>
        <w:t>v podobě podmínky stanoviska EIA k záměru.</w:t>
      </w:r>
    </w:p>
    <w:p w14:paraId="5BD2ED72" w14:textId="276FB8B4" w:rsidR="002379B4" w:rsidRDefault="002379B4" w:rsidP="00A04F46">
      <w:pPr>
        <w:rPr>
          <w:rFonts w:ascii="Arial" w:hAnsi="Arial" w:cs="Arial"/>
        </w:rPr>
      </w:pPr>
    </w:p>
    <w:p w14:paraId="040D9894" w14:textId="0280CD32" w:rsidR="002379B4" w:rsidRDefault="002379B4" w:rsidP="00A04F46">
      <w:pPr>
        <w:rPr>
          <w:rFonts w:ascii="Arial" w:hAnsi="Arial" w:cs="Arial"/>
          <w:i/>
          <w:iCs/>
        </w:rPr>
      </w:pPr>
      <w:r w:rsidRPr="002379B4">
        <w:rPr>
          <w:rFonts w:ascii="Arial" w:hAnsi="Arial" w:cs="Arial"/>
          <w:i/>
          <w:iCs/>
        </w:rPr>
        <w:t xml:space="preserve">K problematice vlivu na klima se nevztahují žádné podmínky stanoviska </w:t>
      </w:r>
      <w:r>
        <w:rPr>
          <w:rFonts w:ascii="Arial" w:hAnsi="Arial" w:cs="Arial"/>
          <w:i/>
          <w:iCs/>
        </w:rPr>
        <w:t>EIA</w:t>
      </w:r>
      <w:r w:rsidRPr="002379B4">
        <w:rPr>
          <w:rFonts w:ascii="Arial" w:hAnsi="Arial" w:cs="Arial"/>
          <w:i/>
          <w:iCs/>
        </w:rPr>
        <w:t>. Změn klimatu se dílčím způsobem dotýkají podmínky zajišťující normální fungování přírodních dějů v území (např. zachování vodního režimu, ochrana půd</w:t>
      </w:r>
      <w:r>
        <w:rPr>
          <w:rFonts w:ascii="Arial" w:hAnsi="Arial" w:cs="Arial"/>
          <w:i/>
          <w:iCs/>
        </w:rPr>
        <w:t xml:space="preserve">. </w:t>
      </w:r>
      <w:r w:rsidRPr="002379B4">
        <w:rPr>
          <w:rFonts w:ascii="Arial" w:hAnsi="Arial" w:cs="Arial"/>
          <w:i/>
          <w:iCs/>
        </w:rPr>
        <w:t>Situace popsaná v rámci Dokumentace EIA vlivu na klima nedoznala žádných změn.</w:t>
      </w:r>
    </w:p>
    <w:p w14:paraId="224CA10D" w14:textId="70CB37CE" w:rsidR="002379B4" w:rsidRDefault="002379B4" w:rsidP="00A04F46">
      <w:pPr>
        <w:rPr>
          <w:rFonts w:ascii="Arial" w:hAnsi="Arial" w:cs="Arial"/>
          <w:i/>
          <w:iCs/>
        </w:rPr>
      </w:pPr>
    </w:p>
    <w:p w14:paraId="19730F26" w14:textId="77777777" w:rsidR="002379B4" w:rsidRPr="00680EF1" w:rsidRDefault="002379B4" w:rsidP="002379B4">
      <w:pPr>
        <w:rPr>
          <w:rFonts w:ascii="Arial" w:hAnsi="Arial" w:cs="Arial"/>
          <w:i/>
          <w:iCs/>
        </w:rPr>
      </w:pPr>
      <w:r w:rsidRPr="00680EF1">
        <w:rPr>
          <w:rFonts w:ascii="Arial" w:hAnsi="Arial" w:cs="Arial"/>
          <w:i/>
          <w:iCs/>
        </w:rPr>
        <w:t xml:space="preserve">Voda </w:t>
      </w:r>
    </w:p>
    <w:p w14:paraId="6E18E7CA" w14:textId="77777777" w:rsidR="002379B4" w:rsidRDefault="002379B4" w:rsidP="002379B4">
      <w:pPr>
        <w:rPr>
          <w:rFonts w:ascii="Arial" w:hAnsi="Arial" w:cs="Arial"/>
        </w:rPr>
      </w:pPr>
    </w:p>
    <w:p w14:paraId="4C81190F" w14:textId="77777777" w:rsidR="002379B4" w:rsidRPr="00796D2F" w:rsidRDefault="002379B4" w:rsidP="002379B4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796D2F">
        <w:rPr>
          <w:rFonts w:ascii="Arial" w:hAnsi="Arial" w:cs="Arial"/>
        </w:rPr>
        <w:t xml:space="preserve">apitola </w:t>
      </w:r>
      <w:r>
        <w:rPr>
          <w:rFonts w:ascii="Arial" w:hAnsi="Arial" w:cs="Arial"/>
        </w:rPr>
        <w:t xml:space="preserve">„Voda“ </w:t>
      </w:r>
      <w:r w:rsidRPr="00796D2F">
        <w:rPr>
          <w:rFonts w:ascii="Arial" w:hAnsi="Arial" w:cs="Arial"/>
        </w:rPr>
        <w:t xml:space="preserve">je rozšířena o vymezení dotčeného území a identifikaci dotčených vodních útvarů z pohledu Rámcové směrnice o vodách (Směrnice Evropského parlamentu a Rady 2000/60/ES ze dne 23. října 2000, kterou se stanoví rámec pro činnost Společenství v oblasti vodní politiky a která byla transponována do českého právního řádu zákonem č. 254/2001 Sb., o vodách a o změně některých zákonů (vodní zákon), ve znění pozdějších předpisů, a navazující vyhlášky č. 393/2010 Sb., </w:t>
      </w:r>
      <w:r>
        <w:rPr>
          <w:rFonts w:ascii="Arial" w:hAnsi="Arial" w:cs="Arial"/>
        </w:rPr>
        <w:br/>
      </w:r>
      <w:r w:rsidRPr="00796D2F">
        <w:rPr>
          <w:rFonts w:ascii="Arial" w:hAnsi="Arial" w:cs="Arial"/>
        </w:rPr>
        <w:t>o oblastech povodí). Informace o dotčených vodních tocích jsou aktualizovány dle Centrální evidence vodních toků (</w:t>
      </w:r>
      <w:proofErr w:type="spellStart"/>
      <w:r w:rsidRPr="00796D2F">
        <w:rPr>
          <w:rFonts w:ascii="Arial" w:hAnsi="Arial" w:cs="Arial"/>
        </w:rPr>
        <w:t>eAGRI</w:t>
      </w:r>
      <w:proofErr w:type="spellEnd"/>
      <w:r w:rsidRPr="00796D2F">
        <w:rPr>
          <w:rFonts w:ascii="Arial" w:hAnsi="Arial" w:cs="Arial"/>
        </w:rPr>
        <w:t xml:space="preserve">) a Plánu dílčího povodí Moravy a přítoků Váhu a jsou doplněny vymezením lososových a kaprových vod (dle nařízení vlády </w:t>
      </w:r>
      <w:r>
        <w:rPr>
          <w:rFonts w:ascii="Arial" w:hAnsi="Arial" w:cs="Arial"/>
        </w:rPr>
        <w:br/>
      </w:r>
      <w:r w:rsidRPr="00796D2F">
        <w:rPr>
          <w:rFonts w:ascii="Arial" w:hAnsi="Arial" w:cs="Arial"/>
        </w:rPr>
        <w:t>č. 71/2003 Sb. o stanovení povrchových vod vhodných pro život a reprodukci původních druhů ryb a dalších vodních živočichů a o zjišťování a hodnocení stavu jakosti těchto vod). Informace o vodních zdrojích jsou aktualizovány</w:t>
      </w:r>
      <w:r>
        <w:rPr>
          <w:rFonts w:ascii="Arial" w:hAnsi="Arial" w:cs="Arial"/>
        </w:rPr>
        <w:t>.</w:t>
      </w:r>
      <w:r w:rsidRPr="00796D2F">
        <w:rPr>
          <w:rFonts w:ascii="Arial" w:hAnsi="Arial" w:cs="Arial"/>
        </w:rPr>
        <w:t xml:space="preserve"> Vzhledem k tomu že došlo ke změně správcovství některých vodních toků v území, jsou tyto údaje aktualizovány. Údaje k vodním zdrojům jsou aktualizovány dle </w:t>
      </w:r>
      <w:proofErr w:type="spellStart"/>
      <w:r w:rsidRPr="00796D2F">
        <w:rPr>
          <w:rFonts w:ascii="Arial" w:hAnsi="Arial" w:cs="Arial"/>
        </w:rPr>
        <w:t>Hydroekologického</w:t>
      </w:r>
      <w:proofErr w:type="spellEnd"/>
      <w:r w:rsidRPr="00796D2F">
        <w:rPr>
          <w:rFonts w:ascii="Arial" w:hAnsi="Arial" w:cs="Arial"/>
        </w:rPr>
        <w:t xml:space="preserve"> informačního systému Výzkumného ústavu vodohospodářského </w:t>
      </w:r>
      <w:proofErr w:type="spellStart"/>
      <w:r w:rsidRPr="00796D2F">
        <w:rPr>
          <w:rFonts w:ascii="Arial" w:hAnsi="Arial" w:cs="Arial"/>
        </w:rPr>
        <w:t>T.G.Masaryka</w:t>
      </w:r>
      <w:proofErr w:type="spellEnd"/>
      <w:r w:rsidRPr="00796D2F">
        <w:rPr>
          <w:rFonts w:ascii="Arial" w:hAnsi="Arial" w:cs="Arial"/>
        </w:rPr>
        <w:t>. Nově bylo v území vymezeno Krajským úřadem Olomouckého kraje záplavové území</w:t>
      </w:r>
      <w:r>
        <w:rPr>
          <w:rFonts w:ascii="Arial" w:hAnsi="Arial" w:cs="Arial"/>
        </w:rPr>
        <w:t>.</w:t>
      </w:r>
    </w:p>
    <w:p w14:paraId="0FAB24DA" w14:textId="77777777" w:rsidR="002379B4" w:rsidRPr="00796D2F" w:rsidRDefault="002379B4" w:rsidP="002379B4">
      <w:pPr>
        <w:rPr>
          <w:rFonts w:ascii="Arial" w:hAnsi="Arial" w:cs="Arial"/>
        </w:rPr>
      </w:pPr>
      <w:r w:rsidRPr="00796D2F">
        <w:rPr>
          <w:rFonts w:ascii="Arial" w:hAnsi="Arial" w:cs="Arial"/>
        </w:rPr>
        <w:t>Vzhledem k lokalizaci záměru jsou jako dotčené identifikovány útvary povrchových vod</w:t>
      </w:r>
      <w:r>
        <w:rPr>
          <w:rFonts w:ascii="Arial" w:hAnsi="Arial" w:cs="Arial"/>
        </w:rPr>
        <w:t xml:space="preserve"> a sice</w:t>
      </w:r>
      <w:r w:rsidRPr="00796D2F">
        <w:rPr>
          <w:rFonts w:ascii="Arial" w:hAnsi="Arial" w:cs="Arial"/>
        </w:rPr>
        <w:t xml:space="preserve"> MOV_0460 - Sitka (</w:t>
      </w:r>
      <w:proofErr w:type="spellStart"/>
      <w:r w:rsidRPr="00796D2F">
        <w:rPr>
          <w:rFonts w:ascii="Arial" w:hAnsi="Arial" w:cs="Arial"/>
        </w:rPr>
        <w:t>Huzovka</w:t>
      </w:r>
      <w:proofErr w:type="spellEnd"/>
      <w:r w:rsidRPr="00796D2F">
        <w:rPr>
          <w:rFonts w:ascii="Arial" w:hAnsi="Arial" w:cs="Arial"/>
        </w:rPr>
        <w:t>) od toku Sprchový potok po ústí do toku Oskava</w:t>
      </w:r>
      <w:r>
        <w:rPr>
          <w:rFonts w:ascii="Arial" w:hAnsi="Arial" w:cs="Arial"/>
        </w:rPr>
        <w:t>,</w:t>
      </w:r>
      <w:r w:rsidRPr="00796D2F">
        <w:rPr>
          <w:rFonts w:ascii="Arial" w:hAnsi="Arial" w:cs="Arial"/>
        </w:rPr>
        <w:t xml:space="preserve"> </w:t>
      </w:r>
      <w:r w:rsidRPr="00796D2F">
        <w:rPr>
          <w:rFonts w:ascii="Arial" w:hAnsi="Arial" w:cs="Arial"/>
        </w:rPr>
        <w:lastRenderedPageBreak/>
        <w:t>MOV_0480 - Trusovický potok (</w:t>
      </w:r>
      <w:proofErr w:type="spellStart"/>
      <w:r w:rsidRPr="00796D2F">
        <w:rPr>
          <w:rFonts w:ascii="Arial" w:hAnsi="Arial" w:cs="Arial"/>
        </w:rPr>
        <w:t>Trusovka</w:t>
      </w:r>
      <w:proofErr w:type="spellEnd"/>
      <w:r w:rsidRPr="00796D2F">
        <w:rPr>
          <w:rFonts w:ascii="Arial" w:hAnsi="Arial" w:cs="Arial"/>
        </w:rPr>
        <w:t xml:space="preserve">) od pramene po ústí do toku Morava (MOV_0480) </w:t>
      </w:r>
      <w:r>
        <w:rPr>
          <w:rFonts w:ascii="Arial" w:hAnsi="Arial" w:cs="Arial"/>
        </w:rPr>
        <w:t xml:space="preserve">a </w:t>
      </w:r>
      <w:r w:rsidRPr="00796D2F">
        <w:rPr>
          <w:rFonts w:ascii="Arial" w:hAnsi="Arial" w:cs="Arial"/>
        </w:rPr>
        <w:t xml:space="preserve">MOV_0510 - Bystřice od toku </w:t>
      </w:r>
      <w:proofErr w:type="spellStart"/>
      <w:r w:rsidRPr="00796D2F">
        <w:rPr>
          <w:rFonts w:ascii="Arial" w:hAnsi="Arial" w:cs="Arial"/>
        </w:rPr>
        <w:t>Lichnička</w:t>
      </w:r>
      <w:proofErr w:type="spellEnd"/>
      <w:r w:rsidRPr="00796D2F">
        <w:rPr>
          <w:rFonts w:ascii="Arial" w:hAnsi="Arial" w:cs="Arial"/>
        </w:rPr>
        <w:t xml:space="preserve"> po ústí do toku Morava</w:t>
      </w:r>
      <w:r>
        <w:rPr>
          <w:rFonts w:ascii="Arial" w:hAnsi="Arial" w:cs="Arial"/>
        </w:rPr>
        <w:t xml:space="preserve">. </w:t>
      </w:r>
      <w:r w:rsidRPr="00796D2F">
        <w:rPr>
          <w:rFonts w:ascii="Arial" w:hAnsi="Arial" w:cs="Arial"/>
        </w:rPr>
        <w:t>Jako dotčené jsou identifikovány rovněž útvary podzemních vod</w:t>
      </w:r>
      <w:r>
        <w:rPr>
          <w:rFonts w:ascii="Arial" w:hAnsi="Arial" w:cs="Arial"/>
        </w:rPr>
        <w:t xml:space="preserve"> a sice </w:t>
      </w:r>
      <w:r w:rsidRPr="00796D2F">
        <w:rPr>
          <w:rFonts w:ascii="Arial" w:hAnsi="Arial" w:cs="Arial"/>
        </w:rPr>
        <w:t xml:space="preserve">16210 </w:t>
      </w:r>
      <w:proofErr w:type="spellStart"/>
      <w:r w:rsidRPr="00796D2F">
        <w:rPr>
          <w:rFonts w:ascii="Arial" w:hAnsi="Arial" w:cs="Arial"/>
        </w:rPr>
        <w:t>Pliopleistocén</w:t>
      </w:r>
      <w:proofErr w:type="spellEnd"/>
      <w:r w:rsidRPr="00796D2F">
        <w:rPr>
          <w:rFonts w:ascii="Arial" w:hAnsi="Arial" w:cs="Arial"/>
        </w:rPr>
        <w:t xml:space="preserve"> Hornomoravského úvalu – severní část</w:t>
      </w:r>
      <w:r>
        <w:rPr>
          <w:rFonts w:ascii="Arial" w:hAnsi="Arial" w:cs="Arial"/>
        </w:rPr>
        <w:t xml:space="preserve"> a </w:t>
      </w:r>
      <w:r w:rsidRPr="00796D2F">
        <w:rPr>
          <w:rFonts w:ascii="Arial" w:hAnsi="Arial" w:cs="Arial"/>
        </w:rPr>
        <w:t>22201 Hornomoravský úval – severní část</w:t>
      </w:r>
      <w:r>
        <w:rPr>
          <w:rFonts w:ascii="Arial" w:hAnsi="Arial" w:cs="Arial"/>
        </w:rPr>
        <w:t>.</w:t>
      </w:r>
      <w:r w:rsidRPr="00796D2F">
        <w:rPr>
          <w:rFonts w:ascii="Arial" w:hAnsi="Arial" w:cs="Arial"/>
        </w:rPr>
        <w:t xml:space="preserve"> Jedná se o vodní útvary, u kterých dochází k územnímu překryvu s plánovaným záměrem. Vodní útvary 16210 je vymezen ve svrchní vrstvě horninového profilu a VÚ 22201 v základní (hlavní) vrstvě</w:t>
      </w:r>
      <w:r>
        <w:rPr>
          <w:rFonts w:ascii="Arial" w:hAnsi="Arial" w:cs="Arial"/>
        </w:rPr>
        <w:t>.</w:t>
      </w:r>
    </w:p>
    <w:p w14:paraId="33B16EDA" w14:textId="77777777" w:rsidR="002379B4" w:rsidRPr="008E72CF" w:rsidRDefault="002379B4" w:rsidP="002379B4">
      <w:pPr>
        <w:rPr>
          <w:rFonts w:ascii="Arial" w:hAnsi="Arial" w:cs="Arial"/>
        </w:rPr>
      </w:pPr>
      <w:r w:rsidRPr="00796D2F">
        <w:rPr>
          <w:rFonts w:ascii="Arial" w:hAnsi="Arial" w:cs="Arial"/>
        </w:rPr>
        <w:t xml:space="preserve">Celý rozsah hodnocení vlivů je součástí Dokumentace EIA z roku 2009, převzaty </w:t>
      </w:r>
      <w:r>
        <w:rPr>
          <w:rFonts w:ascii="Arial" w:hAnsi="Arial" w:cs="Arial"/>
        </w:rPr>
        <w:t xml:space="preserve">jsou </w:t>
      </w:r>
      <w:r w:rsidRPr="00796D2F">
        <w:rPr>
          <w:rFonts w:ascii="Arial" w:hAnsi="Arial" w:cs="Arial"/>
        </w:rPr>
        <w:t>údaje, u kterých došlo ke změnám či byly nově přidány (vodní útvary) a následně bylo rozšířeno i jejich hodnocení – změna legislativy týkající se hodnot přípustného znečištění, předpokládána koncentrace chloridů v konečném recipientu, vlivy na dotčené vodní útvary</w:t>
      </w:r>
      <w:r>
        <w:rPr>
          <w:rFonts w:ascii="Arial" w:hAnsi="Arial" w:cs="Arial"/>
        </w:rPr>
        <w:t xml:space="preserve">. </w:t>
      </w:r>
      <w:r w:rsidRPr="008E72CF">
        <w:rPr>
          <w:rFonts w:ascii="Arial" w:hAnsi="Arial" w:cs="Arial"/>
        </w:rPr>
        <w:t xml:space="preserve">Nařízením vlády č. 401/2015 Sb., kterým se mění NV č. 229/2007 Sb. (platné v roce 2009), o ukazatelích a hodnotách přípustného znečištění povrchových vod a odpadních vod, náležitostech povolení k vypouštění odpadních vod do vod povrchových a do kanalizací a o citlivých oblastech, byly zpřísněny hodnoty přípustného znečištění chloridy na 150 mg/l (z 250 mg/l platných v roce 2009) obecně pro povrchové vody. Pro povrchové vody užívané pro vodárenské účely, koupání osob a lososové a kaprové vody (dle nařízení vlády č. 71/2003 Sb.1) je stanoven limit přísnější, a to 65 mg/l (v obou případech se jedná o roční průměrné koncentrace Cl- ). </w:t>
      </w:r>
    </w:p>
    <w:p w14:paraId="38F668C1" w14:textId="77777777" w:rsidR="002379B4" w:rsidRPr="008E72CF" w:rsidRDefault="002379B4" w:rsidP="002379B4">
      <w:pPr>
        <w:rPr>
          <w:rFonts w:ascii="Arial" w:hAnsi="Arial" w:cs="Arial"/>
        </w:rPr>
      </w:pPr>
    </w:p>
    <w:p w14:paraId="601D797F" w14:textId="77777777" w:rsidR="002379B4" w:rsidRPr="00796D2F" w:rsidRDefault="002379B4" w:rsidP="002379B4">
      <w:pPr>
        <w:rPr>
          <w:rFonts w:ascii="Arial" w:hAnsi="Arial" w:cs="Arial"/>
        </w:rPr>
      </w:pPr>
      <w:r w:rsidRPr="00796D2F">
        <w:rPr>
          <w:rFonts w:ascii="Arial" w:hAnsi="Arial" w:cs="Arial"/>
        </w:rPr>
        <w:t>Ovlivnění vodních útvarů povrchových vod vychází z možného ovlivnění povrchových vod úpravami vodních toků a vnosem znečišťujících látek do těchto toků. Vzhledem ke značné rozloze dotčených útvarů povrchových vod a díky tomu, že součástí záměru nejsou významné úpravy jejich páteřních toků (resp. Sitka a Bystřice nebudou dotčeny vůbec, střet s Trusovickým potokem řešen mostním objektem s minimalizací zásahů do toku) se ovlivnění jejich ekologického stavu/potenciálu nepředpokládá. V případě doplnění bezpečnostních prvků odvodnění o odlučovače ropných látek (eliminace rizika znečištění recipientů pro případ havárie) se také nepředpokládá ovlivnění dotčených vodních útvarů povrchových vod z pohledu všeobecných fyzikálně chemických parametrů, jelikož předpokládané koncentrace chloridů v jednotlivých recipientech v období provozu záměru nepřekračují limitní hodnoty stanovené nařízeními vlády (NV č. 401/2015 Sb.; NV č. 71/2003 Sb.). Lze tedy očekávat,</w:t>
      </w:r>
      <w:r>
        <w:rPr>
          <w:rFonts w:ascii="Arial" w:hAnsi="Arial" w:cs="Arial"/>
        </w:rPr>
        <w:t xml:space="preserve"> </w:t>
      </w:r>
      <w:r w:rsidRPr="00796D2F">
        <w:rPr>
          <w:rFonts w:ascii="Arial" w:hAnsi="Arial" w:cs="Arial"/>
        </w:rPr>
        <w:t xml:space="preserve">že ani biologické složky kvality nebudou chloridy z posypových solí negativně ovlivněny. Vodní útvary podzemních vod mohou být obecně ovlivněny z hlediska kvantitativních charakteristik a chemického stavu. Výšku hladiny podzemních vod a jejich proudění mohou ovlivnit mostní objekty a zemní tělesa posuzovaného záměru, avšak eventuální změny by byly pouze lokální a nezpůsobily by zhoršení kvantitativního stavu plošně velice rozsáhlých dotčených VÚ podzemních vod. Chemický stav VÚ může být ovlivněn vnosem znečišťujících látek do vod podzemních z vod povrchových (znečištěných prostřednictvím odváděných vod z komunikací). Rizika spojená se znečištěním podzemních vod ropnými látkami lze eliminovat doplněním ochranných prvků v podobě odlučovačů ropných látek před vyústěním vod do recipientů. Po jejich doplnění se ovlivnění chemického stavu podzemních vod (resp. vodních útvarů podzemních vod) nepředpokládá, vzhledem k relativně nízkým předpokládaným koncentracím chloridů v recipientech (viz výše), díky kterým lze očekávat, že nebude docházet ke vnosu chloridů do podzemních vod. S ohledem na uvedené lze dále konstatovat, že realizace záměru nebude překážkou pro zlepšení stavu/potenciálu dotčených VÚ povrchových i podzemních vod v budoucnu. </w:t>
      </w:r>
    </w:p>
    <w:p w14:paraId="65CADE9E" w14:textId="77777777" w:rsidR="002379B4" w:rsidRPr="00FB7028" w:rsidRDefault="002379B4" w:rsidP="002379B4">
      <w:pPr>
        <w:rPr>
          <w:rFonts w:ascii="Arial" w:hAnsi="Arial" w:cs="Arial"/>
        </w:rPr>
      </w:pPr>
      <w:r w:rsidRPr="00FB7028">
        <w:rPr>
          <w:rFonts w:ascii="Arial" w:hAnsi="Arial" w:cs="Arial"/>
        </w:rPr>
        <w:t xml:space="preserve">Z hlediska vlivů na povrchové a podzemní vody nenastaly v dotčeném území významné změny. Došlo ke změně správcovství některých vodních toků a doplnění či </w:t>
      </w:r>
      <w:r w:rsidRPr="00FB7028">
        <w:rPr>
          <w:rFonts w:ascii="Arial" w:hAnsi="Arial" w:cs="Arial"/>
        </w:rPr>
        <w:lastRenderedPageBreak/>
        <w:t xml:space="preserve">aktualizaci některých údajů (včetně aktualizace předpokládaného ovlivnění jakosti vod z hlediska chloridů). Nově bylo v území vymezeno záplavové území a byly doplněny údaje týkající se vodních útvarů. Z hlediska stavu povrchových a podzemních vod, vodních zdrojů a nově zahrnutých vodních útvarů nenastaly v území podstatné změny oproti stavu v době zpracování Dokumentace EIA v roce 2009. </w:t>
      </w:r>
    </w:p>
    <w:p w14:paraId="32CB394D" w14:textId="77777777" w:rsidR="002379B4" w:rsidRDefault="002379B4" w:rsidP="002379B4">
      <w:pPr>
        <w:rPr>
          <w:rFonts w:ascii="Arial" w:hAnsi="Arial" w:cs="Arial"/>
          <w:i/>
          <w:iCs/>
        </w:rPr>
      </w:pPr>
    </w:p>
    <w:p w14:paraId="39621A03" w14:textId="77777777" w:rsidR="002379B4" w:rsidRPr="00957610" w:rsidRDefault="002379B4" w:rsidP="002379B4">
      <w:pPr>
        <w:rPr>
          <w:rFonts w:ascii="Arial" w:hAnsi="Arial" w:cs="Arial"/>
          <w:i/>
          <w:iCs/>
        </w:rPr>
      </w:pPr>
      <w:r w:rsidRPr="00957610">
        <w:rPr>
          <w:rFonts w:ascii="Arial" w:hAnsi="Arial" w:cs="Arial"/>
          <w:i/>
          <w:iCs/>
        </w:rPr>
        <w:t xml:space="preserve">Nejedná se o změny podmínek v dotčeném území, které by mohly generovat nové významné vlivy záměru na životní prostředí a veřejné zdraví. </w:t>
      </w:r>
    </w:p>
    <w:p w14:paraId="3F28C0A3" w14:textId="77777777" w:rsidR="002379B4" w:rsidRPr="002379B4" w:rsidRDefault="002379B4" w:rsidP="00A04F46">
      <w:pPr>
        <w:rPr>
          <w:rFonts w:ascii="Arial" w:hAnsi="Arial" w:cs="Arial"/>
          <w:i/>
          <w:iCs/>
        </w:rPr>
      </w:pPr>
    </w:p>
    <w:p w14:paraId="3A01AC71" w14:textId="77777777" w:rsidR="000A12E2" w:rsidRPr="00957610" w:rsidRDefault="000A12E2" w:rsidP="000A12E2">
      <w:pPr>
        <w:rPr>
          <w:rFonts w:ascii="Arial" w:hAnsi="Arial" w:cs="Arial"/>
          <w:i/>
          <w:iCs/>
        </w:rPr>
      </w:pPr>
      <w:r w:rsidRPr="00957610">
        <w:rPr>
          <w:rFonts w:ascii="Arial" w:hAnsi="Arial" w:cs="Arial"/>
          <w:i/>
          <w:iCs/>
        </w:rPr>
        <w:t xml:space="preserve">Půda </w:t>
      </w:r>
    </w:p>
    <w:p w14:paraId="6D4141D1" w14:textId="77777777" w:rsidR="000A12E2" w:rsidRDefault="000A12E2" w:rsidP="000A12E2">
      <w:pPr>
        <w:rPr>
          <w:rFonts w:ascii="Arial" w:hAnsi="Arial" w:cs="Arial"/>
        </w:rPr>
      </w:pPr>
    </w:p>
    <w:p w14:paraId="7B86D5CD" w14:textId="77777777" w:rsidR="000A12E2" w:rsidRPr="00FB7028" w:rsidRDefault="000A12E2" w:rsidP="000A12E2">
      <w:pPr>
        <w:rPr>
          <w:rFonts w:ascii="Arial" w:hAnsi="Arial" w:cs="Arial"/>
        </w:rPr>
      </w:pPr>
      <w:r w:rsidRPr="00FB7028">
        <w:rPr>
          <w:rFonts w:ascii="Arial" w:hAnsi="Arial" w:cs="Arial"/>
        </w:rPr>
        <w:t xml:space="preserve">Situace popsaná v Dokumentaci EIA z hlediska stavu a ovlivnění půd nedoznala žádných změn. Z hlediska tříd ochrany nastaly pouze legislativní změny, které nemají žádné významné vlivy. Z hlediska stavu půd nenastaly v území významné změny oproti stavu v době zpracování Dokumentace EIA v roce 2009. </w:t>
      </w:r>
    </w:p>
    <w:p w14:paraId="7EC50272" w14:textId="77777777" w:rsidR="000A12E2" w:rsidRPr="00FB7028" w:rsidRDefault="000A12E2" w:rsidP="000A12E2">
      <w:pPr>
        <w:rPr>
          <w:rFonts w:ascii="Arial" w:hAnsi="Arial" w:cs="Arial"/>
        </w:rPr>
      </w:pPr>
    </w:p>
    <w:p w14:paraId="66FBBBAF" w14:textId="77777777" w:rsidR="000A12E2" w:rsidRPr="00957610" w:rsidRDefault="000A12E2" w:rsidP="000A12E2">
      <w:pPr>
        <w:rPr>
          <w:rFonts w:ascii="Arial" w:hAnsi="Arial" w:cs="Arial"/>
          <w:i/>
          <w:iCs/>
        </w:rPr>
      </w:pPr>
      <w:r w:rsidRPr="00957610">
        <w:rPr>
          <w:rFonts w:ascii="Arial" w:hAnsi="Arial" w:cs="Arial"/>
          <w:i/>
          <w:iCs/>
        </w:rPr>
        <w:t>Nedošlo ke změnám podmínek v dotčeném území, které by mohly generovat nové významné vlivy záměru na životní prostředí a veřejné zdraví.</w:t>
      </w:r>
    </w:p>
    <w:p w14:paraId="29FD6537" w14:textId="77777777" w:rsidR="002E7148" w:rsidRPr="00957610" w:rsidRDefault="002E7148" w:rsidP="00A04F46">
      <w:pPr>
        <w:rPr>
          <w:rFonts w:ascii="Arial" w:hAnsi="Arial" w:cs="Arial"/>
          <w:i/>
          <w:iCs/>
        </w:rPr>
      </w:pPr>
    </w:p>
    <w:p w14:paraId="7480CE9D" w14:textId="77777777" w:rsidR="002E7148" w:rsidRPr="00957610" w:rsidRDefault="002E7148" w:rsidP="00A04F46">
      <w:pPr>
        <w:rPr>
          <w:rFonts w:ascii="Arial" w:hAnsi="Arial" w:cs="Arial"/>
          <w:i/>
          <w:iCs/>
        </w:rPr>
      </w:pPr>
      <w:r w:rsidRPr="00957610">
        <w:rPr>
          <w:rFonts w:ascii="Arial" w:hAnsi="Arial" w:cs="Arial"/>
          <w:i/>
          <w:iCs/>
        </w:rPr>
        <w:t xml:space="preserve">Územní systémy ekologické stability </w:t>
      </w:r>
    </w:p>
    <w:p w14:paraId="22FF288D" w14:textId="77777777" w:rsidR="002E7148" w:rsidRDefault="002E7148" w:rsidP="00A04F46">
      <w:pPr>
        <w:rPr>
          <w:rFonts w:ascii="Arial" w:hAnsi="Arial" w:cs="Arial"/>
        </w:rPr>
      </w:pPr>
    </w:p>
    <w:p w14:paraId="2943C21E" w14:textId="3FF6F25D" w:rsidR="00957610" w:rsidRPr="00AA6010" w:rsidRDefault="00FB7028" w:rsidP="00A04F46">
      <w:pPr>
        <w:rPr>
          <w:rFonts w:ascii="Arial" w:hAnsi="Arial" w:cs="Arial"/>
        </w:rPr>
      </w:pPr>
      <w:r w:rsidRPr="00FB7028">
        <w:rPr>
          <w:rFonts w:ascii="Arial" w:hAnsi="Arial" w:cs="Arial"/>
        </w:rPr>
        <w:t xml:space="preserve">Ve většině obcí byl systém lokálního ÚSES výrazně </w:t>
      </w:r>
      <w:proofErr w:type="spellStart"/>
      <w:r w:rsidRPr="00FB7028">
        <w:rPr>
          <w:rFonts w:ascii="Arial" w:hAnsi="Arial" w:cs="Arial"/>
        </w:rPr>
        <w:t>přeřešen</w:t>
      </w:r>
      <w:proofErr w:type="spellEnd"/>
      <w:r w:rsidRPr="00FB7028">
        <w:rPr>
          <w:rFonts w:ascii="Arial" w:hAnsi="Arial" w:cs="Arial"/>
        </w:rPr>
        <w:t>. Od doby zpracování Dokumentace EIA byly schváleny u většiny dotčených obcí nové územní plány, ve kterých je návaznost lokálního systému ÚSES z velké části vyřešena</w:t>
      </w:r>
      <w:r>
        <w:rPr>
          <w:rFonts w:ascii="Arial" w:hAnsi="Arial" w:cs="Arial"/>
        </w:rPr>
        <w:t>.</w:t>
      </w:r>
      <w:r w:rsidRPr="00FB7028">
        <w:t xml:space="preserve"> </w:t>
      </w:r>
      <w:r w:rsidRPr="00FB7028">
        <w:rPr>
          <w:rFonts w:ascii="Arial" w:hAnsi="Arial" w:cs="Arial"/>
        </w:rPr>
        <w:t xml:space="preserve">Aktualizovaný rozsah prvků ÚSES </w:t>
      </w:r>
      <w:r w:rsidR="00AA6010">
        <w:rPr>
          <w:rFonts w:ascii="Arial" w:hAnsi="Arial" w:cs="Arial"/>
        </w:rPr>
        <w:t>je uveden.</w:t>
      </w:r>
      <w:r w:rsidR="00AA6010" w:rsidRPr="00AA6010">
        <w:t xml:space="preserve"> </w:t>
      </w:r>
      <w:r w:rsidR="00AA6010" w:rsidRPr="00AA6010">
        <w:rPr>
          <w:rFonts w:ascii="Arial" w:hAnsi="Arial" w:cs="Arial"/>
        </w:rPr>
        <w:t xml:space="preserve">V území došlo s přijetím nových územních plánů u většiny obcí k dořešení a propojení lokálního ÚSES, kdy navíc byly některé prvky upraveny i vzhledem k vymezeným plochám pro záměr přeložky I/46. Zrušeno, pozměněno i nově navrženo bylo několik lokálních biocenter i biokoridorů. Celkově je současný stav v celém území z velké části propojený a odstraněna byla většina nesrovnalostí zvláště na rozhraních jednotlivých </w:t>
      </w:r>
      <w:proofErr w:type="spellStart"/>
      <w:r w:rsidR="00AA6010" w:rsidRPr="00AA6010">
        <w:rPr>
          <w:rFonts w:ascii="Arial" w:hAnsi="Arial" w:cs="Arial"/>
        </w:rPr>
        <w:t>k.ú</w:t>
      </w:r>
      <w:proofErr w:type="spellEnd"/>
      <w:r w:rsidR="00AA6010" w:rsidRPr="00AA6010">
        <w:rPr>
          <w:rFonts w:ascii="Arial" w:hAnsi="Arial" w:cs="Arial"/>
        </w:rPr>
        <w:t xml:space="preserve">. Spolu s novým řešením se zmenšil i počet střetů záměru s ÚSES (zrušené LBK 1, LBC 8 Za </w:t>
      </w:r>
      <w:proofErr w:type="spellStart"/>
      <w:r w:rsidR="00AA6010" w:rsidRPr="00AA6010">
        <w:rPr>
          <w:rFonts w:ascii="Arial" w:hAnsi="Arial" w:cs="Arial"/>
        </w:rPr>
        <w:t>Geblovem</w:t>
      </w:r>
      <w:proofErr w:type="spellEnd"/>
      <w:r w:rsidR="00AA6010" w:rsidRPr="00AA6010">
        <w:rPr>
          <w:rFonts w:ascii="Arial" w:hAnsi="Arial" w:cs="Arial"/>
        </w:rPr>
        <w:t xml:space="preserve">, zmenšení LBC 5 Louková, zrušení LBK 4b), nově byl vymezen pouze lokální biokoridor LBK 2c (pro navádění zvěře na </w:t>
      </w:r>
      <w:proofErr w:type="spellStart"/>
      <w:r w:rsidR="00AA6010" w:rsidRPr="00AA6010">
        <w:rPr>
          <w:rFonts w:ascii="Arial" w:hAnsi="Arial" w:cs="Arial"/>
        </w:rPr>
        <w:t>ekodukt</w:t>
      </w:r>
      <w:proofErr w:type="spellEnd"/>
      <w:r w:rsidR="00AA6010" w:rsidRPr="00AA6010">
        <w:rPr>
          <w:rFonts w:ascii="Arial" w:hAnsi="Arial" w:cs="Arial"/>
        </w:rPr>
        <w:t xml:space="preserve"> přes silnici I/46) a lokální biokoridor LBK 7b (navazující na LBK 4).</w:t>
      </w:r>
    </w:p>
    <w:p w14:paraId="09FB4536" w14:textId="7BBC31A5" w:rsidR="00FB7028" w:rsidRDefault="00AA6010" w:rsidP="00A04F46">
      <w:pPr>
        <w:rPr>
          <w:rFonts w:ascii="Arial" w:hAnsi="Arial" w:cs="Arial"/>
        </w:rPr>
      </w:pPr>
      <w:r w:rsidRPr="00AA6010">
        <w:rPr>
          <w:rFonts w:ascii="Arial" w:hAnsi="Arial" w:cs="Arial"/>
        </w:rPr>
        <w:t xml:space="preserve">Všechny střety záměru s prvky ÚSES jsou hodnocené se střední mírou narušení, biokoridory budou přerušeny, ale jejich prostupnost zůstane zachována (mostní objekty, propustky, </w:t>
      </w:r>
      <w:proofErr w:type="spellStart"/>
      <w:r w:rsidRPr="00AA6010">
        <w:rPr>
          <w:rFonts w:ascii="Arial" w:hAnsi="Arial" w:cs="Arial"/>
        </w:rPr>
        <w:t>ekodukt</w:t>
      </w:r>
      <w:proofErr w:type="spellEnd"/>
      <w:r w:rsidRPr="00AA6010">
        <w:rPr>
          <w:rFonts w:ascii="Arial" w:hAnsi="Arial" w:cs="Arial"/>
        </w:rPr>
        <w:t>). Změny v systému ÚSES, které se dostávají nově do střetu se záměrem, nejsou svojí povahou významné, jejich řešení je plně postihnutelné navrženými opatřeními, které jsou součástí stanoviska EIA. Z hlediska ovlivnění systému ÚSES nastalo v území několik změn, které nejsou významné oproti stavu v době zpracování Dokumentace EIA v roce 2009.</w:t>
      </w:r>
    </w:p>
    <w:p w14:paraId="7DC98ABD" w14:textId="77777777" w:rsidR="00AA6010" w:rsidRPr="00AA6010" w:rsidRDefault="00AA6010" w:rsidP="00A04F46">
      <w:pPr>
        <w:rPr>
          <w:rFonts w:ascii="Arial" w:hAnsi="Arial" w:cs="Arial"/>
        </w:rPr>
      </w:pPr>
    </w:p>
    <w:p w14:paraId="293944C8" w14:textId="6CEB9671" w:rsidR="00957610" w:rsidRPr="00957610" w:rsidRDefault="002309AB" w:rsidP="00A04F4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Nejedná se o</w:t>
      </w:r>
      <w:r w:rsidR="002E7148" w:rsidRPr="00957610">
        <w:rPr>
          <w:rFonts w:ascii="Arial" w:hAnsi="Arial" w:cs="Arial"/>
          <w:i/>
          <w:iCs/>
        </w:rPr>
        <w:t xml:space="preserve"> změn</w:t>
      </w:r>
      <w:r>
        <w:rPr>
          <w:rFonts w:ascii="Arial" w:hAnsi="Arial" w:cs="Arial"/>
          <w:i/>
          <w:iCs/>
        </w:rPr>
        <w:t>y</w:t>
      </w:r>
      <w:r w:rsidR="002E7148" w:rsidRPr="00957610">
        <w:rPr>
          <w:rFonts w:ascii="Arial" w:hAnsi="Arial" w:cs="Arial"/>
          <w:i/>
          <w:iCs/>
        </w:rPr>
        <w:t xml:space="preserve"> podmínek v dotčeném území, které by mohly generovat nové významné vlivy záměru na životní prostředí a veřejné zdraví.</w:t>
      </w:r>
    </w:p>
    <w:p w14:paraId="4E0237A7" w14:textId="77777777" w:rsidR="00957610" w:rsidRPr="00957610" w:rsidRDefault="00957610" w:rsidP="00A04F46">
      <w:pPr>
        <w:rPr>
          <w:rFonts w:ascii="Arial" w:hAnsi="Arial" w:cs="Arial"/>
          <w:i/>
          <w:iCs/>
        </w:rPr>
      </w:pPr>
    </w:p>
    <w:p w14:paraId="011C2BAE" w14:textId="77777777" w:rsidR="00957610" w:rsidRPr="00957610" w:rsidRDefault="002E7148" w:rsidP="00A04F46">
      <w:pPr>
        <w:rPr>
          <w:rFonts w:ascii="Arial" w:hAnsi="Arial" w:cs="Arial"/>
          <w:i/>
          <w:iCs/>
        </w:rPr>
      </w:pPr>
      <w:r w:rsidRPr="00957610">
        <w:rPr>
          <w:rFonts w:ascii="Arial" w:hAnsi="Arial" w:cs="Arial"/>
          <w:i/>
          <w:iCs/>
        </w:rPr>
        <w:t xml:space="preserve">Zvláště chráněná území </w:t>
      </w:r>
    </w:p>
    <w:p w14:paraId="7A07DC66" w14:textId="77777777" w:rsidR="00957610" w:rsidRDefault="00957610" w:rsidP="00A04F46">
      <w:pPr>
        <w:rPr>
          <w:rFonts w:ascii="Arial" w:hAnsi="Arial" w:cs="Arial"/>
        </w:rPr>
      </w:pPr>
    </w:p>
    <w:p w14:paraId="698CFE07" w14:textId="7EC084AE" w:rsidR="00957610" w:rsidRPr="000A12E2" w:rsidRDefault="000A12E2" w:rsidP="00A04F46">
      <w:pPr>
        <w:rPr>
          <w:rFonts w:ascii="Arial" w:hAnsi="Arial" w:cs="Arial"/>
        </w:rPr>
      </w:pPr>
      <w:r w:rsidRPr="000A12E2">
        <w:rPr>
          <w:rFonts w:ascii="Arial" w:hAnsi="Arial" w:cs="Arial"/>
        </w:rPr>
        <w:t xml:space="preserve">V zájmovém prostoru ani jeho širším okolí nejsou vymezena žádná zvláště chráněná území. </w:t>
      </w:r>
      <w:r w:rsidR="002E7148" w:rsidRPr="000A12E2">
        <w:rPr>
          <w:rFonts w:ascii="Arial" w:hAnsi="Arial" w:cs="Arial"/>
        </w:rPr>
        <w:t xml:space="preserve">Od doby zpracování dokumentace EIA v zájmové oblasti nebyla vyhlášena žádná zvláště chráněná území. </w:t>
      </w:r>
    </w:p>
    <w:p w14:paraId="7E539A69" w14:textId="77777777" w:rsidR="00957610" w:rsidRDefault="00957610" w:rsidP="00A04F46">
      <w:pPr>
        <w:rPr>
          <w:rFonts w:ascii="Arial" w:hAnsi="Arial" w:cs="Arial"/>
        </w:rPr>
      </w:pPr>
    </w:p>
    <w:p w14:paraId="7D3CF624" w14:textId="402AD63B" w:rsidR="00957610" w:rsidRPr="000A12E2" w:rsidRDefault="000A12E2" w:rsidP="00A04F46">
      <w:pPr>
        <w:rPr>
          <w:rFonts w:ascii="Arial" w:hAnsi="Arial" w:cs="Arial"/>
          <w:i/>
          <w:iCs/>
        </w:rPr>
      </w:pPr>
      <w:r w:rsidRPr="000A12E2">
        <w:rPr>
          <w:rFonts w:ascii="Arial" w:hAnsi="Arial" w:cs="Arial"/>
          <w:i/>
          <w:iCs/>
        </w:rPr>
        <w:t xml:space="preserve">Chráněná území nebudou záměrem dotčena, proto se k této problematice nevztahují žádné podmínky </w:t>
      </w:r>
      <w:r>
        <w:rPr>
          <w:rFonts w:ascii="Arial" w:hAnsi="Arial" w:cs="Arial"/>
          <w:i/>
          <w:iCs/>
        </w:rPr>
        <w:t>stanoviska EIA</w:t>
      </w:r>
      <w:r w:rsidRPr="000A12E2">
        <w:rPr>
          <w:rFonts w:ascii="Arial" w:hAnsi="Arial" w:cs="Arial"/>
          <w:i/>
          <w:iCs/>
        </w:rPr>
        <w:t xml:space="preserve">. </w:t>
      </w:r>
      <w:r w:rsidR="00C80616" w:rsidRPr="000A12E2">
        <w:rPr>
          <w:rFonts w:ascii="Arial" w:hAnsi="Arial" w:cs="Arial"/>
          <w:i/>
          <w:iCs/>
        </w:rPr>
        <w:t>V dotčeném území nenastaly žádné změny týkající se zvláště chráněných území.</w:t>
      </w:r>
    </w:p>
    <w:p w14:paraId="04DF060A" w14:textId="77777777" w:rsidR="00C80616" w:rsidRPr="00957610" w:rsidRDefault="00C80616" w:rsidP="00A04F46">
      <w:pPr>
        <w:rPr>
          <w:rFonts w:ascii="Arial" w:hAnsi="Arial" w:cs="Arial"/>
          <w:i/>
          <w:iCs/>
        </w:rPr>
      </w:pPr>
    </w:p>
    <w:p w14:paraId="0911F76E" w14:textId="1D6441B7" w:rsidR="00957610" w:rsidRPr="00700B66" w:rsidRDefault="002E7148" w:rsidP="00A04F46">
      <w:pPr>
        <w:rPr>
          <w:rFonts w:ascii="Arial" w:hAnsi="Arial" w:cs="Arial"/>
          <w:i/>
          <w:iCs/>
        </w:rPr>
      </w:pPr>
      <w:r w:rsidRPr="00700B66">
        <w:rPr>
          <w:rFonts w:ascii="Arial" w:hAnsi="Arial" w:cs="Arial"/>
          <w:i/>
          <w:iCs/>
        </w:rPr>
        <w:t xml:space="preserve">Natura 2000 </w:t>
      </w:r>
    </w:p>
    <w:p w14:paraId="7763A29F" w14:textId="77777777" w:rsidR="00957610" w:rsidRDefault="00957610" w:rsidP="00A04F46">
      <w:pPr>
        <w:rPr>
          <w:rFonts w:ascii="Arial" w:hAnsi="Arial" w:cs="Arial"/>
        </w:rPr>
      </w:pPr>
    </w:p>
    <w:p w14:paraId="167CA824" w14:textId="46696D53" w:rsidR="00957610" w:rsidRDefault="002E7148" w:rsidP="00A04F46">
      <w:pPr>
        <w:rPr>
          <w:rFonts w:ascii="Arial" w:hAnsi="Arial" w:cs="Arial"/>
        </w:rPr>
      </w:pPr>
      <w:r w:rsidRPr="002E7148">
        <w:rPr>
          <w:rFonts w:ascii="Arial" w:hAnsi="Arial" w:cs="Arial"/>
        </w:rPr>
        <w:t xml:space="preserve">Posuzovaný záměr se nedostává do přímého střetu s lokalitami soustavy Natura 2000. Negativní vliv na nejbližší lokality soustavy Natura 2000 byl vyloučen stanoviskem Krajského úřadu </w:t>
      </w:r>
      <w:r w:rsidR="00C806F2">
        <w:rPr>
          <w:rFonts w:ascii="Arial" w:hAnsi="Arial" w:cs="Arial"/>
        </w:rPr>
        <w:t xml:space="preserve">Olomouckého </w:t>
      </w:r>
      <w:r w:rsidRPr="002E7148">
        <w:rPr>
          <w:rFonts w:ascii="Arial" w:hAnsi="Arial" w:cs="Arial"/>
        </w:rPr>
        <w:t xml:space="preserve">kraje č.j.: </w:t>
      </w:r>
      <w:r w:rsidR="00C806F2">
        <w:rPr>
          <w:rFonts w:ascii="Arial" w:hAnsi="Arial" w:cs="Arial"/>
        </w:rPr>
        <w:t>KUOK</w:t>
      </w:r>
      <w:r w:rsidRPr="002E7148">
        <w:rPr>
          <w:rFonts w:ascii="Arial" w:hAnsi="Arial" w:cs="Arial"/>
        </w:rPr>
        <w:t xml:space="preserve"> </w:t>
      </w:r>
      <w:r w:rsidR="00C806F2">
        <w:rPr>
          <w:rFonts w:ascii="Arial" w:hAnsi="Arial" w:cs="Arial"/>
        </w:rPr>
        <w:t>92019</w:t>
      </w:r>
      <w:r w:rsidRPr="002E7148">
        <w:rPr>
          <w:rFonts w:ascii="Arial" w:hAnsi="Arial" w:cs="Arial"/>
        </w:rPr>
        <w:t>/20</w:t>
      </w:r>
      <w:r w:rsidR="00C806F2">
        <w:rPr>
          <w:rFonts w:ascii="Arial" w:hAnsi="Arial" w:cs="Arial"/>
        </w:rPr>
        <w:t>20</w:t>
      </w:r>
      <w:r w:rsidRPr="002E7148">
        <w:rPr>
          <w:rFonts w:ascii="Arial" w:hAnsi="Arial" w:cs="Arial"/>
        </w:rPr>
        <w:t xml:space="preserve">, ze dne </w:t>
      </w:r>
      <w:r w:rsidR="00C806F2">
        <w:rPr>
          <w:rFonts w:ascii="Arial" w:hAnsi="Arial" w:cs="Arial"/>
        </w:rPr>
        <w:t>31</w:t>
      </w:r>
      <w:r w:rsidRPr="002E7148">
        <w:rPr>
          <w:rFonts w:ascii="Arial" w:hAnsi="Arial" w:cs="Arial"/>
        </w:rPr>
        <w:t>.</w:t>
      </w:r>
      <w:r w:rsidR="00C806F2">
        <w:rPr>
          <w:rFonts w:ascii="Arial" w:hAnsi="Arial" w:cs="Arial"/>
        </w:rPr>
        <w:t>8</w:t>
      </w:r>
      <w:r w:rsidRPr="002E7148">
        <w:rPr>
          <w:rFonts w:ascii="Arial" w:hAnsi="Arial" w:cs="Arial"/>
        </w:rPr>
        <w:t>.20</w:t>
      </w:r>
      <w:r w:rsidR="00C806F2">
        <w:rPr>
          <w:rFonts w:ascii="Arial" w:hAnsi="Arial" w:cs="Arial"/>
        </w:rPr>
        <w:t>20</w:t>
      </w:r>
      <w:r w:rsidRPr="002E7148">
        <w:rPr>
          <w:rFonts w:ascii="Arial" w:hAnsi="Arial" w:cs="Arial"/>
        </w:rPr>
        <w:t xml:space="preserve">. </w:t>
      </w:r>
    </w:p>
    <w:p w14:paraId="5593E577" w14:textId="77777777" w:rsidR="000A12E2" w:rsidRDefault="000A12E2" w:rsidP="00A04F46">
      <w:pPr>
        <w:rPr>
          <w:rFonts w:ascii="Arial" w:hAnsi="Arial" w:cs="Arial"/>
        </w:rPr>
      </w:pPr>
    </w:p>
    <w:p w14:paraId="1B083FF9" w14:textId="43C4AF13" w:rsidR="00957610" w:rsidRPr="000A12E2" w:rsidRDefault="000A12E2" w:rsidP="00A04F46">
      <w:pPr>
        <w:rPr>
          <w:rFonts w:ascii="Arial" w:hAnsi="Arial" w:cs="Arial"/>
          <w:i/>
          <w:iCs/>
        </w:rPr>
      </w:pPr>
      <w:r w:rsidRPr="000A12E2">
        <w:rPr>
          <w:rFonts w:ascii="Arial" w:hAnsi="Arial" w:cs="Arial"/>
          <w:i/>
          <w:iCs/>
        </w:rPr>
        <w:t xml:space="preserve">Lokality soustavy Natura 2000 nebudou záměrem dotčena, proto se k této problematice nevztahují žádné podmínky </w:t>
      </w:r>
      <w:r>
        <w:rPr>
          <w:rFonts w:ascii="Arial" w:hAnsi="Arial" w:cs="Arial"/>
          <w:i/>
          <w:iCs/>
        </w:rPr>
        <w:t>stanoviska EIA</w:t>
      </w:r>
      <w:r w:rsidRPr="000A12E2">
        <w:rPr>
          <w:rFonts w:ascii="Arial" w:hAnsi="Arial" w:cs="Arial"/>
          <w:i/>
          <w:iCs/>
        </w:rPr>
        <w:t>. Situace popsaná v rámci Dokumentace EIA vlivu na soustavu Natura 2000 nedoznala žádných změn.</w:t>
      </w:r>
    </w:p>
    <w:p w14:paraId="1AAF57AF" w14:textId="77777777" w:rsidR="000A12E2" w:rsidRPr="00957610" w:rsidRDefault="000A12E2" w:rsidP="00A04F46">
      <w:pPr>
        <w:rPr>
          <w:rFonts w:ascii="Arial" w:hAnsi="Arial" w:cs="Arial"/>
          <w:i/>
          <w:iCs/>
        </w:rPr>
      </w:pPr>
    </w:p>
    <w:p w14:paraId="3B98FBAD" w14:textId="5858C9BC" w:rsidR="00957610" w:rsidRDefault="002E7148" w:rsidP="00A04F46">
      <w:pPr>
        <w:rPr>
          <w:rFonts w:ascii="Arial" w:hAnsi="Arial" w:cs="Arial"/>
          <w:i/>
          <w:iCs/>
        </w:rPr>
      </w:pPr>
      <w:r w:rsidRPr="00957610">
        <w:rPr>
          <w:rFonts w:ascii="Arial" w:hAnsi="Arial" w:cs="Arial"/>
          <w:i/>
          <w:iCs/>
        </w:rPr>
        <w:t xml:space="preserve">Přírodní parky </w:t>
      </w:r>
    </w:p>
    <w:p w14:paraId="40B152AC" w14:textId="77777777" w:rsidR="000A12E2" w:rsidRDefault="000A12E2" w:rsidP="000A12E2">
      <w:pPr>
        <w:rPr>
          <w:rFonts w:ascii="Arial" w:hAnsi="Arial" w:cs="Arial"/>
        </w:rPr>
      </w:pPr>
    </w:p>
    <w:p w14:paraId="6DBD6287" w14:textId="65697EB2" w:rsidR="000A12E2" w:rsidRPr="00700B66" w:rsidRDefault="000A12E2" w:rsidP="000A12E2">
      <w:pPr>
        <w:rPr>
          <w:rFonts w:ascii="Arial" w:hAnsi="Arial" w:cs="Arial"/>
        </w:rPr>
      </w:pPr>
      <w:r w:rsidRPr="00700B66">
        <w:rPr>
          <w:rFonts w:ascii="Arial" w:hAnsi="Arial" w:cs="Arial"/>
        </w:rPr>
        <w:t xml:space="preserve">Z hlediska </w:t>
      </w:r>
      <w:r>
        <w:rPr>
          <w:rFonts w:ascii="Arial" w:hAnsi="Arial" w:cs="Arial"/>
        </w:rPr>
        <w:t>PP</w:t>
      </w:r>
      <w:r w:rsidRPr="00700B66">
        <w:rPr>
          <w:rFonts w:ascii="Arial" w:hAnsi="Arial" w:cs="Arial"/>
        </w:rPr>
        <w:t xml:space="preserve"> v území nenastaly změny oproti stavu v době zpracování Dokumentace EIA v roce 2009.</w:t>
      </w:r>
      <w:r w:rsidRPr="00700B66">
        <w:t xml:space="preserve"> </w:t>
      </w:r>
      <w:r w:rsidRPr="00700B66">
        <w:rPr>
          <w:rFonts w:ascii="Arial" w:hAnsi="Arial" w:cs="Arial"/>
        </w:rPr>
        <w:t xml:space="preserve">V dotčeném území nebyly zaznamenány nově vymezené registrované </w:t>
      </w:r>
      <w:r>
        <w:rPr>
          <w:rFonts w:ascii="Arial" w:hAnsi="Arial" w:cs="Arial"/>
        </w:rPr>
        <w:t>PP.</w:t>
      </w:r>
    </w:p>
    <w:p w14:paraId="6140048A" w14:textId="77777777" w:rsidR="000A12E2" w:rsidRPr="00957610" w:rsidRDefault="000A12E2" w:rsidP="00A04F46">
      <w:pPr>
        <w:rPr>
          <w:rFonts w:ascii="Arial" w:hAnsi="Arial" w:cs="Arial"/>
          <w:i/>
          <w:iCs/>
        </w:rPr>
      </w:pPr>
    </w:p>
    <w:p w14:paraId="7D5E4A8F" w14:textId="255F51E0" w:rsidR="000A12E2" w:rsidRPr="000A12E2" w:rsidRDefault="000A12E2" w:rsidP="000A12E2">
      <w:pPr>
        <w:rPr>
          <w:rFonts w:ascii="Arial" w:hAnsi="Arial" w:cs="Arial"/>
          <w:i/>
          <w:iCs/>
        </w:rPr>
      </w:pPr>
      <w:r w:rsidRPr="000A12E2">
        <w:rPr>
          <w:rFonts w:ascii="Arial" w:hAnsi="Arial" w:cs="Arial"/>
          <w:i/>
          <w:iCs/>
        </w:rPr>
        <w:t xml:space="preserve">Přírodní parky nebudou záměrem dotčeny, proto se k této problematice nevztahují žádné podmínky </w:t>
      </w:r>
      <w:r>
        <w:rPr>
          <w:rFonts w:ascii="Arial" w:hAnsi="Arial" w:cs="Arial"/>
          <w:i/>
          <w:iCs/>
        </w:rPr>
        <w:t>stanoviska EIA</w:t>
      </w:r>
      <w:r w:rsidRPr="000A12E2">
        <w:rPr>
          <w:rFonts w:ascii="Arial" w:hAnsi="Arial" w:cs="Arial"/>
          <w:i/>
          <w:iCs/>
        </w:rPr>
        <w:t>. Situace popsaná v rámci Dokumentace EIA vlivu na přírodní parky nedoznala žádných změn.</w:t>
      </w:r>
    </w:p>
    <w:p w14:paraId="3949E6EA" w14:textId="77777777" w:rsidR="00957610" w:rsidRPr="00957610" w:rsidRDefault="00957610" w:rsidP="00A04F46">
      <w:pPr>
        <w:rPr>
          <w:rFonts w:ascii="Arial" w:hAnsi="Arial" w:cs="Arial"/>
          <w:i/>
          <w:iCs/>
        </w:rPr>
      </w:pPr>
    </w:p>
    <w:p w14:paraId="7E7B0FC5" w14:textId="317B0AC4" w:rsidR="000A12E2" w:rsidRDefault="000A12E2" w:rsidP="00A04F46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  <w:i/>
          <w:iCs/>
        </w:rPr>
        <w:t>ýznamné krajinné prvky</w:t>
      </w:r>
    </w:p>
    <w:p w14:paraId="2231F925" w14:textId="77777777" w:rsidR="000A12E2" w:rsidRDefault="000A12E2" w:rsidP="00A04F46">
      <w:pPr>
        <w:rPr>
          <w:rFonts w:ascii="Arial" w:hAnsi="Arial" w:cs="Arial"/>
        </w:rPr>
      </w:pPr>
    </w:p>
    <w:p w14:paraId="0D7353DF" w14:textId="240105E7" w:rsidR="00700B66" w:rsidRPr="000A12E2" w:rsidRDefault="000A12E2" w:rsidP="00A04F46">
      <w:pPr>
        <w:rPr>
          <w:rFonts w:ascii="Arial" w:hAnsi="Arial" w:cs="Arial"/>
        </w:rPr>
      </w:pPr>
      <w:r w:rsidRPr="000A12E2">
        <w:rPr>
          <w:rFonts w:ascii="Arial" w:hAnsi="Arial" w:cs="Arial"/>
        </w:rPr>
        <w:t>V dotčeném území nebyly zaznamenány nově vymezené registrované VKP ani VKP „ze zákona“. Z hlediska stavu a ovlivnění významných krajinných prvků nenastaly významné změny oproti stavu v době zpracování Dokumentace EIA v roce 2009.</w:t>
      </w:r>
    </w:p>
    <w:p w14:paraId="09C90C2E" w14:textId="77777777" w:rsidR="000A12E2" w:rsidRPr="00957610" w:rsidRDefault="000A12E2" w:rsidP="00A04F46">
      <w:pPr>
        <w:rPr>
          <w:rFonts w:ascii="Arial" w:hAnsi="Arial" w:cs="Arial"/>
          <w:i/>
          <w:iCs/>
        </w:rPr>
      </w:pPr>
    </w:p>
    <w:p w14:paraId="066BB826" w14:textId="77777777" w:rsidR="002309AB" w:rsidRPr="00957610" w:rsidRDefault="002309AB" w:rsidP="002309AB">
      <w:pPr>
        <w:rPr>
          <w:rFonts w:ascii="Arial" w:hAnsi="Arial" w:cs="Arial"/>
          <w:i/>
          <w:iCs/>
        </w:rPr>
      </w:pPr>
      <w:r w:rsidRPr="00957610">
        <w:rPr>
          <w:rFonts w:ascii="Arial" w:hAnsi="Arial" w:cs="Arial"/>
          <w:i/>
          <w:iCs/>
        </w:rPr>
        <w:t>Nedošlo ke změnám podmínek v dotčeném území, které by mohly generovat nové významné vlivy záměru na životní prostředí a veřejné zdraví.</w:t>
      </w:r>
    </w:p>
    <w:p w14:paraId="58C6D4F8" w14:textId="77777777" w:rsidR="000A12E2" w:rsidRPr="000A12E2" w:rsidRDefault="000A12E2" w:rsidP="00A04F46">
      <w:pPr>
        <w:rPr>
          <w:rFonts w:ascii="Arial" w:hAnsi="Arial" w:cs="Arial"/>
          <w:i/>
          <w:iCs/>
        </w:rPr>
      </w:pPr>
    </w:p>
    <w:p w14:paraId="3277A461" w14:textId="77777777" w:rsidR="00957610" w:rsidRPr="00957610" w:rsidRDefault="002E7148" w:rsidP="00A04F46">
      <w:pPr>
        <w:rPr>
          <w:rFonts w:ascii="Arial" w:hAnsi="Arial" w:cs="Arial"/>
          <w:i/>
          <w:iCs/>
        </w:rPr>
      </w:pPr>
      <w:r w:rsidRPr="00957610">
        <w:rPr>
          <w:rFonts w:ascii="Arial" w:hAnsi="Arial" w:cs="Arial"/>
          <w:i/>
          <w:iCs/>
        </w:rPr>
        <w:t xml:space="preserve">Biologická rozmanitost </w:t>
      </w:r>
    </w:p>
    <w:p w14:paraId="51C76DD2" w14:textId="77777777" w:rsidR="00957610" w:rsidRPr="00C806F2" w:rsidRDefault="00957610" w:rsidP="00A04F46">
      <w:pPr>
        <w:rPr>
          <w:rFonts w:ascii="Arial" w:hAnsi="Arial" w:cs="Arial"/>
        </w:rPr>
      </w:pPr>
    </w:p>
    <w:p w14:paraId="54913547" w14:textId="12124EBC" w:rsidR="00957610" w:rsidRDefault="00C806F2" w:rsidP="00A04F46">
      <w:pPr>
        <w:rPr>
          <w:rFonts w:ascii="Arial" w:hAnsi="Arial" w:cs="Arial"/>
        </w:rPr>
      </w:pPr>
      <w:r w:rsidRPr="00C806F2">
        <w:rPr>
          <w:rFonts w:ascii="Arial" w:hAnsi="Arial" w:cs="Arial"/>
        </w:rPr>
        <w:t>V dotčeném území nedošlo k významným změnám využívání zemědělských ploch. Také u přírodě blízkých ploch vázaných na vodní ekosystémy Dolanského a Trusovického potoka nedošlo ke změnám využití. Z hlediska stavu a ovlivnění biologické diverzity nenastaly významné změny oproti stavu v době zpracování Dokumentace EIA v roce 2009.</w:t>
      </w:r>
    </w:p>
    <w:p w14:paraId="636344AE" w14:textId="77777777" w:rsidR="00680EF1" w:rsidRPr="00C806F2" w:rsidRDefault="00680EF1" w:rsidP="00A04F46">
      <w:pPr>
        <w:rPr>
          <w:rFonts w:ascii="Arial" w:hAnsi="Arial" w:cs="Arial"/>
        </w:rPr>
      </w:pPr>
    </w:p>
    <w:p w14:paraId="687565F6" w14:textId="4D947D21" w:rsidR="00957610" w:rsidRPr="00957610" w:rsidRDefault="002E7148" w:rsidP="00A04F46">
      <w:pPr>
        <w:rPr>
          <w:rFonts w:ascii="Arial" w:hAnsi="Arial" w:cs="Arial"/>
          <w:i/>
          <w:iCs/>
        </w:rPr>
      </w:pPr>
      <w:r w:rsidRPr="00957610">
        <w:rPr>
          <w:rFonts w:ascii="Arial" w:hAnsi="Arial" w:cs="Arial"/>
          <w:i/>
          <w:iCs/>
        </w:rPr>
        <w:t xml:space="preserve">Nejedná se o změny podmínek v dotčeném území, které by mohly generovat nové významné vlivy záměru na životní prostředí a veřejné zdraví. </w:t>
      </w:r>
    </w:p>
    <w:p w14:paraId="6B5E64A5" w14:textId="77777777" w:rsidR="00957610" w:rsidRPr="00957610" w:rsidRDefault="00957610" w:rsidP="00A04F46">
      <w:pPr>
        <w:rPr>
          <w:rFonts w:ascii="Arial" w:hAnsi="Arial" w:cs="Arial"/>
          <w:i/>
          <w:iCs/>
        </w:rPr>
      </w:pPr>
    </w:p>
    <w:p w14:paraId="62E5C643" w14:textId="6F0FF1C3" w:rsidR="002379B4" w:rsidRDefault="002379B4" w:rsidP="00A04F4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Flóra, fauna a ekosystémy</w:t>
      </w:r>
    </w:p>
    <w:p w14:paraId="51BABA5A" w14:textId="038BF9EC" w:rsidR="002379B4" w:rsidRDefault="002379B4" w:rsidP="00A04F46">
      <w:pPr>
        <w:rPr>
          <w:rFonts w:ascii="Arial" w:hAnsi="Arial" w:cs="Arial"/>
          <w:i/>
          <w:iCs/>
        </w:rPr>
      </w:pPr>
    </w:p>
    <w:p w14:paraId="2BFF8370" w14:textId="46105F4B" w:rsidR="002379B4" w:rsidRPr="002379B4" w:rsidRDefault="002379B4" w:rsidP="00A04F46">
      <w:pPr>
        <w:rPr>
          <w:rFonts w:ascii="Arial" w:hAnsi="Arial" w:cs="Arial"/>
          <w:i/>
          <w:iCs/>
        </w:rPr>
      </w:pPr>
      <w:r w:rsidRPr="002379B4">
        <w:rPr>
          <w:rFonts w:ascii="Arial" w:hAnsi="Arial" w:cs="Arial"/>
        </w:rPr>
        <w:t xml:space="preserve">V dotčeném území byl během vegetační sezóny 2020 proveden průzkum, který ověřil současný stav bioty. U sledovaných lokalit, které byly vymezeny v rámci podrobného průzkumu v Dokumentaci EIA, došlo k přirozenému vývoji v čase (stárnutí porostů, </w:t>
      </w:r>
      <w:r w:rsidRPr="002379B4">
        <w:rPr>
          <w:rFonts w:ascii="Arial" w:hAnsi="Arial" w:cs="Arial"/>
        </w:rPr>
        <w:lastRenderedPageBreak/>
        <w:t xml:space="preserve">zarůstání). Při srovnání výsledků botanického průzkumu s předchozím stavem území uvedeným v dokumentaci EIA z roku 2009 lze konstatovat víceméně setrvalý stav území, a to v zastoupení jednotlivých biotopů i v počtu zaznamenaných druhů a jejich rozšíření. Většinou šlo o druhy běžné, které se často vyskytují v člověkem ovlivněných biotopech, případně v plošně rozšířených vegetačních typech, tj. jejich význam je </w:t>
      </w:r>
      <w:r>
        <w:rPr>
          <w:rFonts w:ascii="Arial" w:hAnsi="Arial" w:cs="Arial"/>
        </w:rPr>
        <w:br/>
      </w:r>
      <w:r w:rsidRPr="002379B4">
        <w:rPr>
          <w:rFonts w:ascii="Arial" w:hAnsi="Arial" w:cs="Arial"/>
        </w:rPr>
        <w:t>z pohledu ochrany druhů jen nízký. Z druhů zvláště chráněných, zařazených do vyhlášky č. 395/1992 Sb., zákona o ochraně přírody a krajiny byla oproti stavu uvedeném v Dokumentace EIA z roku 2009 zjištěna jen měsíčnice vytrvalá (</w:t>
      </w:r>
      <w:proofErr w:type="spellStart"/>
      <w:r w:rsidRPr="002379B4">
        <w:rPr>
          <w:rFonts w:ascii="Arial" w:hAnsi="Arial" w:cs="Arial"/>
        </w:rPr>
        <w:t>Lunaria</w:t>
      </w:r>
      <w:proofErr w:type="spellEnd"/>
      <w:r w:rsidRPr="002379B4">
        <w:rPr>
          <w:rFonts w:ascii="Arial" w:hAnsi="Arial" w:cs="Arial"/>
        </w:rPr>
        <w:t xml:space="preserve"> </w:t>
      </w:r>
      <w:proofErr w:type="spellStart"/>
      <w:r w:rsidRPr="002379B4">
        <w:rPr>
          <w:rFonts w:ascii="Arial" w:hAnsi="Arial" w:cs="Arial"/>
        </w:rPr>
        <w:t>rediviva</w:t>
      </w:r>
      <w:proofErr w:type="spellEnd"/>
      <w:r w:rsidRPr="002379B4">
        <w:rPr>
          <w:rFonts w:ascii="Arial" w:hAnsi="Arial" w:cs="Arial"/>
        </w:rPr>
        <w:t>) náležící mezi druhy ohrožené</w:t>
      </w:r>
      <w:r>
        <w:rPr>
          <w:rFonts w:ascii="Arial" w:hAnsi="Arial" w:cs="Arial"/>
        </w:rPr>
        <w:t xml:space="preserve">. </w:t>
      </w:r>
      <w:r w:rsidRPr="002379B4">
        <w:rPr>
          <w:rFonts w:ascii="Arial" w:hAnsi="Arial" w:cs="Arial"/>
        </w:rPr>
        <w:t>Ta byla zjištěna na lokalitě 3 na pravém břehu Trusovického potoka v počtu jednoho kvetoucího exempláře. Měsíčnice zároveň patří v rámci červeného seznamu cévnatých rostlin ČR (Grulich 2017) mezi druhy vyžadující pozornost (LC, C4a). Na stejné lokalitě byly zjištěny i další významnější druhy červeného seznamu pomněnka řídkokvětá (</w:t>
      </w:r>
      <w:proofErr w:type="spellStart"/>
      <w:r w:rsidRPr="002379B4">
        <w:rPr>
          <w:rFonts w:ascii="Arial" w:hAnsi="Arial" w:cs="Arial"/>
        </w:rPr>
        <w:t>Myosotis</w:t>
      </w:r>
      <w:proofErr w:type="spellEnd"/>
      <w:r w:rsidRPr="002379B4">
        <w:rPr>
          <w:rFonts w:ascii="Arial" w:hAnsi="Arial" w:cs="Arial"/>
        </w:rPr>
        <w:t xml:space="preserve"> </w:t>
      </w:r>
      <w:proofErr w:type="spellStart"/>
      <w:r w:rsidRPr="002379B4">
        <w:rPr>
          <w:rFonts w:ascii="Arial" w:hAnsi="Arial" w:cs="Arial"/>
        </w:rPr>
        <w:t>sparsiflora</w:t>
      </w:r>
      <w:proofErr w:type="spellEnd"/>
      <w:r w:rsidRPr="002379B4">
        <w:rPr>
          <w:rFonts w:ascii="Arial" w:hAnsi="Arial" w:cs="Arial"/>
        </w:rPr>
        <w:t>) (LC, C4a) a jilm vaz (</w:t>
      </w:r>
      <w:proofErr w:type="spellStart"/>
      <w:r w:rsidRPr="002379B4">
        <w:rPr>
          <w:rFonts w:ascii="Arial" w:hAnsi="Arial" w:cs="Arial"/>
        </w:rPr>
        <w:t>Ulmus</w:t>
      </w:r>
      <w:proofErr w:type="spellEnd"/>
      <w:r w:rsidRPr="002379B4">
        <w:rPr>
          <w:rFonts w:ascii="Arial" w:hAnsi="Arial" w:cs="Arial"/>
        </w:rPr>
        <w:t xml:space="preserve"> </w:t>
      </w:r>
      <w:proofErr w:type="spellStart"/>
      <w:r w:rsidRPr="002379B4">
        <w:rPr>
          <w:rFonts w:ascii="Arial" w:hAnsi="Arial" w:cs="Arial"/>
        </w:rPr>
        <w:t>laevis</w:t>
      </w:r>
      <w:proofErr w:type="spellEnd"/>
      <w:r w:rsidRPr="002379B4">
        <w:rPr>
          <w:rFonts w:ascii="Arial" w:hAnsi="Arial" w:cs="Arial"/>
        </w:rPr>
        <w:t>) (LC, C4a).</w:t>
      </w:r>
    </w:p>
    <w:p w14:paraId="5DF247F0" w14:textId="77777777" w:rsidR="002379B4" w:rsidRDefault="002379B4" w:rsidP="00A04F46">
      <w:pPr>
        <w:rPr>
          <w:rFonts w:ascii="Arial" w:hAnsi="Arial" w:cs="Arial"/>
          <w:i/>
          <w:iCs/>
        </w:rPr>
      </w:pPr>
    </w:p>
    <w:p w14:paraId="59657CD2" w14:textId="6A4DB901" w:rsidR="002379B4" w:rsidRPr="002379B4" w:rsidRDefault="002379B4" w:rsidP="00A04F46">
      <w:pPr>
        <w:rPr>
          <w:rFonts w:ascii="Arial" w:hAnsi="Arial" w:cs="Arial"/>
          <w:i/>
          <w:iCs/>
        </w:rPr>
      </w:pPr>
      <w:r w:rsidRPr="002379B4">
        <w:rPr>
          <w:rFonts w:ascii="Arial" w:hAnsi="Arial" w:cs="Arial"/>
          <w:i/>
          <w:iCs/>
        </w:rPr>
        <w:t>V dotčeném území proběhly biologické průzkumy, které zhodnotily, že se je jedná o víceméně setrvalý stav zastoupení jednotlivých druhů a ekosystémů od doby zpracování Dokumentace EIA v roce 2009. Nově byl zjištěn jeden ohrožený druh rostliny a další dva významnější druhy z červeného seznamu. V dalších stupních projektové přípravy záměru bude nutné zažádat o výjimku dle §56 ZOPK. Z hlediska stavu a ovlivnění flóry, fauny a ekosystémů nenastaly významné změny oproti stavu v době zpracování Dokumentace EIA v roce 2009.</w:t>
      </w:r>
    </w:p>
    <w:p w14:paraId="42BF4A08" w14:textId="77777777" w:rsidR="002379B4" w:rsidRDefault="002379B4" w:rsidP="00A04F46">
      <w:pPr>
        <w:rPr>
          <w:rFonts w:ascii="Arial" w:hAnsi="Arial" w:cs="Arial"/>
          <w:i/>
          <w:iCs/>
        </w:rPr>
      </w:pPr>
    </w:p>
    <w:p w14:paraId="25B32879" w14:textId="32BEB654" w:rsidR="00957610" w:rsidRPr="00957610" w:rsidRDefault="002E7148" w:rsidP="00A04F46">
      <w:pPr>
        <w:rPr>
          <w:rFonts w:ascii="Arial" w:hAnsi="Arial" w:cs="Arial"/>
          <w:i/>
          <w:iCs/>
        </w:rPr>
      </w:pPr>
      <w:r w:rsidRPr="00957610">
        <w:rPr>
          <w:rFonts w:ascii="Arial" w:hAnsi="Arial" w:cs="Arial"/>
          <w:i/>
          <w:iCs/>
        </w:rPr>
        <w:t xml:space="preserve">Migrace </w:t>
      </w:r>
    </w:p>
    <w:p w14:paraId="4196C0AD" w14:textId="77777777" w:rsidR="00957610" w:rsidRDefault="00957610" w:rsidP="00A04F46">
      <w:pPr>
        <w:rPr>
          <w:rFonts w:ascii="Arial" w:hAnsi="Arial" w:cs="Arial"/>
        </w:rPr>
      </w:pPr>
    </w:p>
    <w:p w14:paraId="6139470F" w14:textId="0B3E1830" w:rsidR="00680EF1" w:rsidRPr="00680EF1" w:rsidRDefault="002E7148" w:rsidP="00A04F46">
      <w:pPr>
        <w:rPr>
          <w:rFonts w:ascii="Arial" w:hAnsi="Arial" w:cs="Arial"/>
        </w:rPr>
      </w:pPr>
      <w:r w:rsidRPr="002E7148">
        <w:rPr>
          <w:rFonts w:ascii="Arial" w:hAnsi="Arial" w:cs="Arial"/>
        </w:rPr>
        <w:t>Od roku 200</w:t>
      </w:r>
      <w:r w:rsidR="00680EF1">
        <w:rPr>
          <w:rFonts w:ascii="Arial" w:hAnsi="Arial" w:cs="Arial"/>
        </w:rPr>
        <w:t>9</w:t>
      </w:r>
      <w:r w:rsidRPr="002E7148">
        <w:rPr>
          <w:rFonts w:ascii="Arial" w:hAnsi="Arial" w:cs="Arial"/>
        </w:rPr>
        <w:t xml:space="preserve">, kdy byla zpracována původní dokumentace EIA, došlo ke zvýšení podrobnosti a komplexnosti pohledu na hodnocení migrací a vznikly také nové metodické pokyny k hodnocení migrační prostupnosti. </w:t>
      </w:r>
      <w:r w:rsidR="00680EF1" w:rsidRPr="00680EF1">
        <w:rPr>
          <w:rFonts w:ascii="Arial" w:hAnsi="Arial" w:cs="Arial"/>
        </w:rPr>
        <w:t xml:space="preserve">Kapitola byla aktualizována a rozšířena z důvodu nových podkladů a metodických doporučení pro zpracování migračních studií, které výrazně rozšiřují komplexnost hodnocení migračního potenciálu krajiny. </w:t>
      </w:r>
      <w:r w:rsidR="00632126">
        <w:rPr>
          <w:rFonts w:ascii="Arial" w:hAnsi="Arial" w:cs="Arial"/>
        </w:rPr>
        <w:t>P</w:t>
      </w:r>
      <w:r w:rsidR="00680EF1" w:rsidRPr="00680EF1">
        <w:rPr>
          <w:rFonts w:ascii="Arial" w:hAnsi="Arial" w:cs="Arial"/>
        </w:rPr>
        <w:t xml:space="preserve">odmínky </w:t>
      </w:r>
      <w:r w:rsidR="00632126">
        <w:rPr>
          <w:rFonts w:ascii="Arial" w:hAnsi="Arial" w:cs="Arial"/>
        </w:rPr>
        <w:t>s</w:t>
      </w:r>
      <w:r w:rsidR="00680EF1" w:rsidRPr="00680EF1">
        <w:rPr>
          <w:rFonts w:ascii="Arial" w:hAnsi="Arial" w:cs="Arial"/>
        </w:rPr>
        <w:t xml:space="preserve">tanoviska </w:t>
      </w:r>
      <w:r w:rsidR="00632126">
        <w:rPr>
          <w:rFonts w:ascii="Arial" w:hAnsi="Arial" w:cs="Arial"/>
        </w:rPr>
        <w:t xml:space="preserve">EIA </w:t>
      </w:r>
      <w:r w:rsidR="00680EF1" w:rsidRPr="00680EF1">
        <w:rPr>
          <w:rFonts w:ascii="Arial" w:hAnsi="Arial" w:cs="Arial"/>
        </w:rPr>
        <w:t xml:space="preserve">vztahující se k období další přípravy komunikace jsou i nadále platné. Dostatečně však nezahrnují změny v území a rozšíření komplexnosti hodnocení migračního potenciálu krajiny, především vyhodnocení vlivu na velké savce. Tato nová problematika je však vzhledem k postupující projektové přípravě záměru (aktuálně zpracovaná dokumentace pro územní rozhodnutí – DÚR) již v celém rozsahu zahrnuta do samotného technického řešení záměru (na základě migrační studie jednání s AOPK a následně návrh </w:t>
      </w:r>
      <w:proofErr w:type="spellStart"/>
      <w:r w:rsidR="00680EF1" w:rsidRPr="00680EF1">
        <w:rPr>
          <w:rFonts w:ascii="Arial" w:hAnsi="Arial" w:cs="Arial"/>
        </w:rPr>
        <w:t>ekoduktu</w:t>
      </w:r>
      <w:proofErr w:type="spellEnd"/>
      <w:r w:rsidR="00680EF1" w:rsidRPr="00680EF1">
        <w:rPr>
          <w:rFonts w:ascii="Arial" w:hAnsi="Arial" w:cs="Arial"/>
        </w:rPr>
        <w:t>) a současně podléhá udělení výjimky dle § 50 ZOPK u vybraných druhů velkých savců z důvodu křížení jejich biotopu.</w:t>
      </w:r>
      <w:r w:rsidR="00680EF1" w:rsidRPr="00680EF1">
        <w:t xml:space="preserve"> </w:t>
      </w:r>
      <w:r w:rsidR="00680EF1" w:rsidRPr="00680EF1">
        <w:rPr>
          <w:rFonts w:ascii="Arial" w:hAnsi="Arial" w:cs="Arial"/>
        </w:rPr>
        <w:t xml:space="preserve">Z hlediska stavu a ovlivnění migračního potenciálu území nastaly změny oproti stavu v době zpracování Dokumentace EIA </w:t>
      </w:r>
      <w:r w:rsidR="00680EF1">
        <w:rPr>
          <w:rFonts w:ascii="Arial" w:hAnsi="Arial" w:cs="Arial"/>
        </w:rPr>
        <w:br/>
      </w:r>
      <w:r w:rsidR="00680EF1" w:rsidRPr="00680EF1">
        <w:rPr>
          <w:rFonts w:ascii="Arial" w:hAnsi="Arial" w:cs="Arial"/>
        </w:rPr>
        <w:t>v roce 2009. Tyto změny se začaly řešit již v navazujícím stupni projektové přípravy záměru (DÚR) a budou detailně řešeny i v dalších stupních projektové dokumentace.</w:t>
      </w:r>
    </w:p>
    <w:p w14:paraId="4AE6606B" w14:textId="77777777" w:rsidR="00680EF1" w:rsidRDefault="00680EF1" w:rsidP="00A04F46">
      <w:pPr>
        <w:rPr>
          <w:rFonts w:ascii="Arial" w:hAnsi="Arial" w:cs="Arial"/>
        </w:rPr>
      </w:pPr>
    </w:p>
    <w:p w14:paraId="76C0F691" w14:textId="34865C1A" w:rsidR="00680EF1" w:rsidRPr="00632126" w:rsidRDefault="00632126" w:rsidP="00A04F4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Nejedná se o</w:t>
      </w:r>
      <w:r w:rsidRPr="00632126">
        <w:rPr>
          <w:rFonts w:ascii="Arial" w:hAnsi="Arial" w:cs="Arial"/>
          <w:i/>
          <w:iCs/>
        </w:rPr>
        <w:t xml:space="preserve"> změn</w:t>
      </w:r>
      <w:r>
        <w:rPr>
          <w:rFonts w:ascii="Arial" w:hAnsi="Arial" w:cs="Arial"/>
          <w:i/>
          <w:iCs/>
        </w:rPr>
        <w:t>y</w:t>
      </w:r>
      <w:r w:rsidRPr="00632126">
        <w:rPr>
          <w:rFonts w:ascii="Arial" w:hAnsi="Arial" w:cs="Arial"/>
          <w:i/>
          <w:iCs/>
        </w:rPr>
        <w:t xml:space="preserve"> podmínek v dotčeném území, které by mohly generovat nové významné vlivy záměru na životní prostředí a veřejné zdraví.</w:t>
      </w:r>
    </w:p>
    <w:p w14:paraId="26AD4F1B" w14:textId="77777777" w:rsidR="00957610" w:rsidRPr="00957610" w:rsidRDefault="00957610" w:rsidP="00A04F46">
      <w:pPr>
        <w:rPr>
          <w:rFonts w:ascii="Arial" w:hAnsi="Arial" w:cs="Arial"/>
          <w:i/>
          <w:iCs/>
        </w:rPr>
      </w:pPr>
    </w:p>
    <w:p w14:paraId="259D59B5" w14:textId="59669F9B" w:rsidR="00957610" w:rsidRDefault="002E7148" w:rsidP="00A04F46">
      <w:pPr>
        <w:rPr>
          <w:rFonts w:ascii="Arial" w:hAnsi="Arial" w:cs="Arial"/>
          <w:i/>
          <w:iCs/>
        </w:rPr>
      </w:pPr>
      <w:r w:rsidRPr="00957610">
        <w:rPr>
          <w:rFonts w:ascii="Arial" w:hAnsi="Arial" w:cs="Arial"/>
          <w:i/>
          <w:iCs/>
        </w:rPr>
        <w:t xml:space="preserve">Horninové prostředí a přírodní zdroje </w:t>
      </w:r>
    </w:p>
    <w:p w14:paraId="5105DB58" w14:textId="77777777" w:rsidR="00632126" w:rsidRPr="00957610" w:rsidRDefault="00632126" w:rsidP="00A04F46">
      <w:pPr>
        <w:rPr>
          <w:rFonts w:ascii="Arial" w:hAnsi="Arial" w:cs="Arial"/>
          <w:i/>
          <w:iCs/>
        </w:rPr>
      </w:pPr>
    </w:p>
    <w:p w14:paraId="05F99CDE" w14:textId="73B9DB52" w:rsidR="00957610" w:rsidRDefault="002E7148" w:rsidP="00A04F46">
      <w:pPr>
        <w:rPr>
          <w:rFonts w:ascii="Arial" w:hAnsi="Arial" w:cs="Arial"/>
        </w:rPr>
      </w:pPr>
      <w:r w:rsidRPr="002E7148">
        <w:rPr>
          <w:rFonts w:ascii="Arial" w:hAnsi="Arial" w:cs="Arial"/>
        </w:rPr>
        <w:t>Z hlediska horninového prostředí a přírodních zdrojů v území nenastaly žádné změny oproti stavu v době vydání stanoviska EIA v roce 20</w:t>
      </w:r>
      <w:r w:rsidR="00680EF1">
        <w:rPr>
          <w:rFonts w:ascii="Arial" w:hAnsi="Arial" w:cs="Arial"/>
        </w:rPr>
        <w:t>09</w:t>
      </w:r>
      <w:r w:rsidRPr="002E7148">
        <w:rPr>
          <w:rFonts w:ascii="Arial" w:hAnsi="Arial" w:cs="Arial"/>
        </w:rPr>
        <w:t xml:space="preserve">. </w:t>
      </w:r>
    </w:p>
    <w:p w14:paraId="2C853CBC" w14:textId="77777777" w:rsidR="00957610" w:rsidRDefault="00957610" w:rsidP="00A04F46">
      <w:pPr>
        <w:rPr>
          <w:rFonts w:ascii="Arial" w:hAnsi="Arial" w:cs="Arial"/>
        </w:rPr>
      </w:pPr>
    </w:p>
    <w:p w14:paraId="7685F4C0" w14:textId="29AC3840" w:rsidR="00957610" w:rsidRDefault="00632126" w:rsidP="00A04F46">
      <w:pPr>
        <w:rPr>
          <w:rFonts w:ascii="Arial" w:hAnsi="Arial" w:cs="Arial"/>
          <w:i/>
          <w:iCs/>
        </w:rPr>
      </w:pPr>
      <w:r w:rsidRPr="00632126">
        <w:rPr>
          <w:rFonts w:ascii="Arial" w:hAnsi="Arial" w:cs="Arial"/>
          <w:i/>
          <w:iCs/>
        </w:rPr>
        <w:t xml:space="preserve">K problematice ochrany horninového prostředí a přírodních zdrojů v území se nevztahují žádné podmínky </w:t>
      </w:r>
      <w:r>
        <w:rPr>
          <w:rFonts w:ascii="Arial" w:hAnsi="Arial" w:cs="Arial"/>
          <w:i/>
          <w:iCs/>
        </w:rPr>
        <w:t>stanoviska EIA</w:t>
      </w:r>
      <w:r w:rsidRPr="00632126">
        <w:rPr>
          <w:rFonts w:ascii="Arial" w:hAnsi="Arial" w:cs="Arial"/>
          <w:i/>
          <w:iCs/>
        </w:rPr>
        <w:t xml:space="preserve">. Situace popsaná v rámci Dokumentace EIA </w:t>
      </w:r>
      <w:r>
        <w:rPr>
          <w:rFonts w:ascii="Arial" w:hAnsi="Arial" w:cs="Arial"/>
          <w:i/>
          <w:iCs/>
        </w:rPr>
        <w:t xml:space="preserve">v roce 2009 </w:t>
      </w:r>
      <w:r w:rsidRPr="00632126">
        <w:rPr>
          <w:rFonts w:ascii="Arial" w:hAnsi="Arial" w:cs="Arial"/>
          <w:i/>
          <w:iCs/>
        </w:rPr>
        <w:t>z hlediska ochrany horninového prostředí a přírodních zdrojů nedoznala žádných významných změn.</w:t>
      </w:r>
    </w:p>
    <w:p w14:paraId="4EF6B934" w14:textId="6A2BE471" w:rsidR="00632126" w:rsidRDefault="00632126" w:rsidP="00A04F46">
      <w:pPr>
        <w:rPr>
          <w:rFonts w:ascii="Arial" w:hAnsi="Arial" w:cs="Arial"/>
          <w:i/>
          <w:iCs/>
        </w:rPr>
      </w:pPr>
    </w:p>
    <w:p w14:paraId="30E7BA1D" w14:textId="0942A469" w:rsidR="00632126" w:rsidRDefault="00632126" w:rsidP="00A04F46">
      <w:pPr>
        <w:rPr>
          <w:rFonts w:ascii="Arial" w:hAnsi="Arial" w:cs="Arial"/>
          <w:i/>
          <w:iCs/>
        </w:rPr>
      </w:pPr>
      <w:r w:rsidRPr="00632126">
        <w:rPr>
          <w:rFonts w:ascii="Arial" w:hAnsi="Arial" w:cs="Arial"/>
          <w:i/>
          <w:iCs/>
        </w:rPr>
        <w:t>Území historického, kulturního, nebo archeologického významu</w:t>
      </w:r>
    </w:p>
    <w:p w14:paraId="5CAA0125" w14:textId="00FAE0B5" w:rsidR="00632126" w:rsidRDefault="00632126" w:rsidP="00A04F46">
      <w:pPr>
        <w:rPr>
          <w:rFonts w:ascii="Arial" w:hAnsi="Arial" w:cs="Arial"/>
          <w:i/>
          <w:iCs/>
        </w:rPr>
      </w:pPr>
    </w:p>
    <w:p w14:paraId="338B2153" w14:textId="17453D95" w:rsidR="00632126" w:rsidRPr="00632126" w:rsidRDefault="00632126" w:rsidP="00A04F46">
      <w:pPr>
        <w:rPr>
          <w:rFonts w:ascii="Arial" w:hAnsi="Arial" w:cs="Arial"/>
        </w:rPr>
      </w:pPr>
      <w:r w:rsidRPr="00632126">
        <w:rPr>
          <w:rFonts w:ascii="Arial" w:hAnsi="Arial" w:cs="Arial"/>
        </w:rPr>
        <w:t>V území byla zrušena jedna památka místního významu (rozpadlý kříž u stávající silnice I/46). Z hlediska historického, kulturního a archeologického významu území nenastaly významné změny oproti stavu v době zpracování Dokumentace EIA v roce 2009.</w:t>
      </w:r>
    </w:p>
    <w:p w14:paraId="56583AA5" w14:textId="11CEAAA7" w:rsidR="00632126" w:rsidRDefault="00632126" w:rsidP="00A04F46"/>
    <w:p w14:paraId="407592EC" w14:textId="6964E920" w:rsidR="00632126" w:rsidRPr="00632126" w:rsidRDefault="00632126" w:rsidP="00A04F46">
      <w:pPr>
        <w:rPr>
          <w:rFonts w:ascii="Arial" w:hAnsi="Arial" w:cs="Arial"/>
          <w:i/>
          <w:iCs/>
        </w:rPr>
      </w:pPr>
      <w:r w:rsidRPr="00632126">
        <w:rPr>
          <w:rFonts w:ascii="Arial" w:hAnsi="Arial" w:cs="Arial"/>
          <w:i/>
          <w:iCs/>
        </w:rPr>
        <w:t xml:space="preserve">K problematice ochrany území historického, kulturního a archeologického významu se nevztahují žádné podmínky </w:t>
      </w:r>
      <w:r>
        <w:rPr>
          <w:rFonts w:ascii="Arial" w:hAnsi="Arial" w:cs="Arial"/>
          <w:i/>
          <w:iCs/>
        </w:rPr>
        <w:t>stanoviska EIA</w:t>
      </w:r>
      <w:r w:rsidRPr="00632126">
        <w:rPr>
          <w:rFonts w:ascii="Arial" w:hAnsi="Arial" w:cs="Arial"/>
          <w:i/>
          <w:iCs/>
        </w:rPr>
        <w:t>. Situace popsaná v rámci Dokumentace EIA z hlediska ochrany historického, kulturního a archeologického významu nedoznala žádných významných změn</w:t>
      </w:r>
    </w:p>
    <w:p w14:paraId="7AF315AF" w14:textId="77777777" w:rsidR="00632126" w:rsidRPr="00632126" w:rsidRDefault="00632126" w:rsidP="00A04F46">
      <w:pPr>
        <w:rPr>
          <w:rFonts w:ascii="Arial" w:hAnsi="Arial" w:cs="Arial"/>
        </w:rPr>
      </w:pPr>
    </w:p>
    <w:p w14:paraId="53BC279C" w14:textId="7F3E7E87" w:rsidR="00632126" w:rsidRDefault="00632126" w:rsidP="00A04F4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Staré ekologické zátěže</w:t>
      </w:r>
    </w:p>
    <w:p w14:paraId="1B88ECDE" w14:textId="6EF3C2CF" w:rsidR="00632126" w:rsidRDefault="00632126" w:rsidP="00A04F46">
      <w:pPr>
        <w:rPr>
          <w:rFonts w:ascii="Arial" w:hAnsi="Arial" w:cs="Arial"/>
          <w:i/>
          <w:iCs/>
        </w:rPr>
      </w:pPr>
    </w:p>
    <w:p w14:paraId="74AC2941" w14:textId="6EBE9494" w:rsidR="00632126" w:rsidRPr="00632126" w:rsidRDefault="00632126" w:rsidP="00A04F46">
      <w:pPr>
        <w:rPr>
          <w:rFonts w:ascii="Arial" w:hAnsi="Arial" w:cs="Arial"/>
        </w:rPr>
      </w:pPr>
      <w:r w:rsidRPr="00632126">
        <w:rPr>
          <w:rFonts w:ascii="Arial" w:hAnsi="Arial" w:cs="Arial"/>
        </w:rPr>
        <w:t>Při západním okraji obce Tovéř v lokalitě Záhumenky je jako stará ekologická zátěž evidován areál bývalé cihelny. Další ekologická zátěž zvaná U Trati v podobě rekultivované skládky je evidována severovýchodně od Štarnova v lokalitě Prlov při křížení silnice III/4486 a železniční tratě ČD.</w:t>
      </w:r>
      <w:r>
        <w:rPr>
          <w:rFonts w:ascii="Arial" w:hAnsi="Arial" w:cs="Arial"/>
        </w:rPr>
        <w:t xml:space="preserve"> </w:t>
      </w:r>
      <w:r w:rsidRPr="00632126">
        <w:rPr>
          <w:rFonts w:ascii="Arial" w:hAnsi="Arial" w:cs="Arial"/>
        </w:rPr>
        <w:t xml:space="preserve">Ve vymezení starých ekologických změn nenastaly změny oproti stavu v době zpracování Dokumentace EIA v roce 2009. </w:t>
      </w:r>
    </w:p>
    <w:p w14:paraId="1B282921" w14:textId="77777777" w:rsidR="00632126" w:rsidRDefault="00632126" w:rsidP="00A04F46">
      <w:pPr>
        <w:rPr>
          <w:rFonts w:ascii="Arial" w:hAnsi="Arial" w:cs="Arial"/>
          <w:i/>
          <w:iCs/>
        </w:rPr>
      </w:pPr>
    </w:p>
    <w:p w14:paraId="7B8B2084" w14:textId="7D7A249C" w:rsidR="00632126" w:rsidRDefault="00632126" w:rsidP="00A04F46">
      <w:pPr>
        <w:rPr>
          <w:rFonts w:ascii="Arial" w:hAnsi="Arial" w:cs="Arial"/>
          <w:i/>
          <w:iCs/>
        </w:rPr>
      </w:pPr>
      <w:r w:rsidRPr="00632126">
        <w:rPr>
          <w:rFonts w:ascii="Arial" w:hAnsi="Arial" w:cs="Arial"/>
          <w:i/>
          <w:iCs/>
        </w:rPr>
        <w:t xml:space="preserve">K problematice starých ekologických zátěží se nevztahují žádné podmínky </w:t>
      </w:r>
      <w:r>
        <w:rPr>
          <w:rFonts w:ascii="Arial" w:hAnsi="Arial" w:cs="Arial"/>
          <w:i/>
          <w:iCs/>
        </w:rPr>
        <w:t>stanoviska EIA</w:t>
      </w:r>
      <w:r w:rsidRPr="00632126">
        <w:rPr>
          <w:rFonts w:ascii="Arial" w:hAnsi="Arial" w:cs="Arial"/>
          <w:i/>
          <w:iCs/>
        </w:rPr>
        <w:t>. Situace popsaná v rámci Dokumentace EIA vzhledem ke starým ekologickým zátěžím nedoznala žádných významných změn.</w:t>
      </w:r>
    </w:p>
    <w:p w14:paraId="51DB76E6" w14:textId="6B6D23B4" w:rsidR="00F42473" w:rsidRDefault="00F42473" w:rsidP="00A04F46">
      <w:pPr>
        <w:rPr>
          <w:rFonts w:ascii="Arial" w:hAnsi="Arial" w:cs="Arial"/>
          <w:i/>
          <w:iCs/>
        </w:rPr>
      </w:pPr>
    </w:p>
    <w:p w14:paraId="54FF9B8A" w14:textId="55A4B67C" w:rsidR="00F42473" w:rsidRDefault="00F42473" w:rsidP="00A04F4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Krajina</w:t>
      </w:r>
    </w:p>
    <w:p w14:paraId="2AF9A95C" w14:textId="46E300FE" w:rsidR="00F42473" w:rsidRDefault="00F42473" w:rsidP="00A04F46">
      <w:pPr>
        <w:rPr>
          <w:rFonts w:ascii="Arial" w:hAnsi="Arial" w:cs="Arial"/>
          <w:i/>
          <w:iCs/>
        </w:rPr>
      </w:pPr>
    </w:p>
    <w:p w14:paraId="0DA9F08F" w14:textId="58B7DF37" w:rsidR="00F42473" w:rsidRDefault="00F42473" w:rsidP="00A04F46">
      <w:pPr>
        <w:rPr>
          <w:rFonts w:ascii="Arial" w:hAnsi="Arial" w:cs="Arial"/>
        </w:rPr>
      </w:pPr>
      <w:r w:rsidRPr="00F42473">
        <w:rPr>
          <w:rFonts w:ascii="Arial" w:hAnsi="Arial" w:cs="Arial"/>
        </w:rPr>
        <w:t>Z hlediska krajiny v území nenastaly změny oproti stavu v době zpracování Dokumentace EIA v roce 2009.</w:t>
      </w:r>
    </w:p>
    <w:p w14:paraId="20FB138E" w14:textId="77777777" w:rsidR="00F42473" w:rsidRPr="00F42473" w:rsidRDefault="00F42473" w:rsidP="00A04F46">
      <w:pPr>
        <w:rPr>
          <w:rFonts w:ascii="Arial" w:hAnsi="Arial" w:cs="Arial"/>
        </w:rPr>
      </w:pPr>
    </w:p>
    <w:p w14:paraId="27A75014" w14:textId="77777777" w:rsidR="00F42473" w:rsidRPr="00957610" w:rsidRDefault="00F42473" w:rsidP="00F42473">
      <w:pPr>
        <w:rPr>
          <w:rFonts w:ascii="Arial" w:hAnsi="Arial" w:cs="Arial"/>
          <w:i/>
          <w:iCs/>
        </w:rPr>
      </w:pPr>
      <w:r w:rsidRPr="00957610">
        <w:rPr>
          <w:rFonts w:ascii="Arial" w:hAnsi="Arial" w:cs="Arial"/>
          <w:i/>
          <w:iCs/>
        </w:rPr>
        <w:t>Nedošlo ke změnám podmínek v dotčeném území, které by mohly generovat nové významné vlivy záměru na životní prostředí a veřejné zdraví.</w:t>
      </w:r>
    </w:p>
    <w:p w14:paraId="292E0769" w14:textId="65DF00FD" w:rsidR="00632126" w:rsidRPr="00F42473" w:rsidRDefault="00632126" w:rsidP="00A04F46">
      <w:pPr>
        <w:rPr>
          <w:rFonts w:ascii="Arial" w:hAnsi="Arial" w:cs="Arial"/>
        </w:rPr>
      </w:pPr>
    </w:p>
    <w:p w14:paraId="3735CC71" w14:textId="77777777" w:rsidR="00632126" w:rsidRDefault="00632126" w:rsidP="00A04F46">
      <w:pPr>
        <w:rPr>
          <w:rFonts w:ascii="Arial" w:hAnsi="Arial" w:cs="Arial"/>
        </w:rPr>
      </w:pPr>
    </w:p>
    <w:p w14:paraId="3B7EEFC8" w14:textId="5B29E881" w:rsidR="00957610" w:rsidRDefault="002E7148" w:rsidP="00A04F46">
      <w:pPr>
        <w:rPr>
          <w:rFonts w:ascii="Arial" w:hAnsi="Arial" w:cs="Arial"/>
        </w:rPr>
      </w:pPr>
      <w:r w:rsidRPr="002E7148">
        <w:rPr>
          <w:rFonts w:ascii="Arial" w:hAnsi="Arial" w:cs="Arial"/>
        </w:rPr>
        <w:t xml:space="preserve">Dle § 9a odst. 3 zákona oznamovatel podáním žádosti o prodloužení platnosti stanoviska EIA, tj. dokumentem „Podklad pro prodloužení stanoviska EIA“ (HBH Projekt spol. s r.o., </w:t>
      </w:r>
      <w:r w:rsidR="00957610">
        <w:rPr>
          <w:rFonts w:ascii="Arial" w:hAnsi="Arial" w:cs="Arial"/>
        </w:rPr>
        <w:t>10</w:t>
      </w:r>
      <w:r w:rsidRPr="002E7148">
        <w:rPr>
          <w:rFonts w:ascii="Arial" w:hAnsi="Arial" w:cs="Arial"/>
        </w:rPr>
        <w:t>/20</w:t>
      </w:r>
      <w:r w:rsidR="00957610">
        <w:rPr>
          <w:rFonts w:ascii="Arial" w:hAnsi="Arial" w:cs="Arial"/>
        </w:rPr>
        <w:t>20</w:t>
      </w:r>
      <w:r w:rsidRPr="002E7148">
        <w:rPr>
          <w:rFonts w:ascii="Arial" w:hAnsi="Arial" w:cs="Arial"/>
        </w:rPr>
        <w:t xml:space="preserve">) pro záměr </w:t>
      </w:r>
      <w:r w:rsidRPr="00957610">
        <w:rPr>
          <w:rFonts w:ascii="Arial" w:hAnsi="Arial" w:cs="Arial"/>
        </w:rPr>
        <w:t>„</w:t>
      </w:r>
      <w:r w:rsidR="00957610" w:rsidRPr="00957610">
        <w:rPr>
          <w:rFonts w:ascii="Arial" w:hAnsi="Arial" w:cs="Arial"/>
        </w:rPr>
        <w:t>Přeložka silnice I/46 Týneček  - Šternberk</w:t>
      </w:r>
      <w:r w:rsidRPr="00957610">
        <w:rPr>
          <w:rFonts w:ascii="Arial" w:hAnsi="Arial" w:cs="Arial"/>
        </w:rPr>
        <w:t>“,</w:t>
      </w:r>
      <w:r w:rsidRPr="002E7148">
        <w:rPr>
          <w:rFonts w:ascii="Arial" w:hAnsi="Arial" w:cs="Arial"/>
        </w:rPr>
        <w:t xml:space="preserve"> písemně prokázal, že nedošlo k podstatným změnám realizace záměru, podmínek v dotčeném území, které by mohly zapříčinit vznik nových vlivů či agregovat již dříve identifikované vlivy, k novým znalostem souvisejícím s věcným obsahem dokumentace EIA a vývoji nových technologií využitelných v záměru. Zpracovatel podkladového materiálu doporučuje, aby platnost stanoviska EIA byla prodloužena s tím, že uvedené podmínky stanoviska EIA budou respektovány v následujících stupních projektové dokumentace stavby a budou zahrnuty jako podmínky rozhodnutí nebo opatření nutných k provedení záměru v příslušných správních nebo jiných řízeních, pokud </w:t>
      </w:r>
      <w:r w:rsidRPr="002E7148">
        <w:rPr>
          <w:rFonts w:ascii="Arial" w:hAnsi="Arial" w:cs="Arial"/>
        </w:rPr>
        <w:lastRenderedPageBreak/>
        <w:t xml:space="preserve">nebudou do té doby splněny. Na základě výše uvedeného dospěl </w:t>
      </w:r>
      <w:r w:rsidR="00957610">
        <w:rPr>
          <w:rFonts w:ascii="Arial" w:hAnsi="Arial" w:cs="Arial"/>
        </w:rPr>
        <w:t xml:space="preserve">krajský úřad </w:t>
      </w:r>
      <w:r w:rsidR="00F42473">
        <w:rPr>
          <w:rFonts w:ascii="Arial" w:hAnsi="Arial" w:cs="Arial"/>
        </w:rPr>
        <w:br/>
      </w:r>
      <w:r w:rsidRPr="002E7148">
        <w:rPr>
          <w:rFonts w:ascii="Arial" w:hAnsi="Arial" w:cs="Arial"/>
        </w:rPr>
        <w:t xml:space="preserve">k závěru, že platnost stanoviska EIA může být v souladu s § 9a odst. 3 zákona prodloužena o 5 let. </w:t>
      </w:r>
    </w:p>
    <w:p w14:paraId="10A98553" w14:textId="77777777" w:rsidR="00957610" w:rsidRDefault="00957610" w:rsidP="00A04F46">
      <w:pPr>
        <w:rPr>
          <w:rFonts w:ascii="Arial" w:hAnsi="Arial" w:cs="Arial"/>
        </w:rPr>
      </w:pPr>
    </w:p>
    <w:p w14:paraId="25D17584" w14:textId="77777777" w:rsidR="00957610" w:rsidRDefault="002E7148" w:rsidP="00A04F46">
      <w:pPr>
        <w:rPr>
          <w:rFonts w:ascii="Arial" w:hAnsi="Arial" w:cs="Arial"/>
        </w:rPr>
      </w:pPr>
      <w:r w:rsidRPr="002E7148">
        <w:rPr>
          <w:rFonts w:ascii="Arial" w:hAnsi="Arial" w:cs="Arial"/>
        </w:rPr>
        <w:t xml:space="preserve">Toto vyjádření není rozhodnutím podle zákona č. 500/2004 Sb., správní řád, ve znění pozdějších předpisů, nenahrazuje vyjádření dotčených správních orgánů ani příslušná povolení podle zvláštních předpisů a nelze se proti němu odvolat. </w:t>
      </w:r>
    </w:p>
    <w:p w14:paraId="6A99DBC2" w14:textId="77777777" w:rsidR="00957610" w:rsidRDefault="00957610" w:rsidP="00A04F46">
      <w:pPr>
        <w:rPr>
          <w:rFonts w:ascii="Arial" w:hAnsi="Arial" w:cs="Arial"/>
        </w:rPr>
      </w:pPr>
    </w:p>
    <w:p w14:paraId="63C3673B" w14:textId="6F960DBC" w:rsidR="002E7148" w:rsidRPr="002E7148" w:rsidRDefault="002E7148" w:rsidP="00A04F46">
      <w:pPr>
        <w:rPr>
          <w:rFonts w:ascii="Arial" w:hAnsi="Arial" w:cs="Arial"/>
        </w:rPr>
      </w:pPr>
      <w:r w:rsidRPr="002E7148">
        <w:rPr>
          <w:rFonts w:ascii="Arial" w:hAnsi="Arial" w:cs="Arial"/>
        </w:rPr>
        <w:t>Platnost stanoviska EIA může být na žádost oznamovatele prodloužena v souladu s ustanovením § 9a odst. 3 zákona č. 100/2001 Sb., o posuzování vlivů na životní prostředí a o změně některých souvisejících zákonů (zákon o posuzování vlivů na životní prostředí), ve znění pozdějších předpisů.</w:t>
      </w:r>
    </w:p>
    <w:p w14:paraId="1C19EB11" w14:textId="295BB847" w:rsidR="002E7148" w:rsidRPr="002E7148" w:rsidRDefault="002E7148" w:rsidP="00A04F46">
      <w:pPr>
        <w:rPr>
          <w:rFonts w:ascii="Arial" w:hAnsi="Arial" w:cs="Arial"/>
        </w:rPr>
      </w:pPr>
    </w:p>
    <w:p w14:paraId="3EB9521C" w14:textId="77777777" w:rsidR="002E7148" w:rsidRPr="002E7148" w:rsidRDefault="002E7148" w:rsidP="00A04F46">
      <w:pPr>
        <w:rPr>
          <w:rFonts w:ascii="Arial" w:hAnsi="Arial" w:cs="Arial"/>
        </w:rPr>
      </w:pPr>
    </w:p>
    <w:p w14:paraId="6817A39B" w14:textId="77777777" w:rsidR="00E00FF1" w:rsidRPr="002E7148" w:rsidRDefault="00E00FF1" w:rsidP="00A04F46">
      <w:pPr>
        <w:rPr>
          <w:rFonts w:ascii="Arial" w:hAnsi="Arial" w:cs="Arial"/>
        </w:rPr>
      </w:pPr>
    </w:p>
    <w:p w14:paraId="1D705DF4" w14:textId="550ACB0C" w:rsidR="00E00FF1" w:rsidRDefault="00E00FF1" w:rsidP="00A04F46">
      <w:pPr>
        <w:rPr>
          <w:rFonts w:ascii="Arial" w:hAnsi="Arial" w:cs="Arial"/>
        </w:rPr>
      </w:pPr>
    </w:p>
    <w:p w14:paraId="1A1C77C9" w14:textId="77777777" w:rsidR="00F42473" w:rsidRPr="002E7148" w:rsidRDefault="00F42473" w:rsidP="00A04F46">
      <w:pPr>
        <w:rPr>
          <w:rFonts w:ascii="Arial" w:hAnsi="Arial" w:cs="Arial"/>
        </w:rPr>
      </w:pPr>
    </w:p>
    <w:p w14:paraId="483D5010" w14:textId="7335593D" w:rsidR="00E00FF1" w:rsidRDefault="00E00FF1" w:rsidP="00A04F46"/>
    <w:p w14:paraId="60AD7AC9" w14:textId="7A4C5425" w:rsidR="00E00FF1" w:rsidRDefault="00E00FF1" w:rsidP="00A04F46"/>
    <w:p w14:paraId="5D451B8E" w14:textId="2DB61E73" w:rsidR="00E00FF1" w:rsidRPr="00E00FF1" w:rsidRDefault="00E00FF1" w:rsidP="00E00FF1">
      <w:pPr>
        <w:ind w:left="4248" w:firstLine="708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Otisk úředního razítka</w:t>
      </w:r>
    </w:p>
    <w:p w14:paraId="42443A4F" w14:textId="77777777" w:rsidR="00E00FF1" w:rsidRDefault="00E00FF1" w:rsidP="00A04F46"/>
    <w:p w14:paraId="2D04AB36" w14:textId="38180532" w:rsidR="00E00FF1" w:rsidRDefault="00E00FF1" w:rsidP="00E00FF1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Ing. Josef Veselský</w:t>
      </w:r>
    </w:p>
    <w:p w14:paraId="0C8C1C32" w14:textId="673D36EF" w:rsidR="00E00FF1" w:rsidRDefault="00E00FF1" w:rsidP="00E00FF1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vedoucí odboru</w:t>
      </w:r>
    </w:p>
    <w:p w14:paraId="42499B68" w14:textId="4061E365" w:rsidR="00E00FF1" w:rsidRDefault="00E00FF1" w:rsidP="00E00FF1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životního prostředí a zemědělství</w:t>
      </w:r>
    </w:p>
    <w:p w14:paraId="6D625119" w14:textId="71C9865C" w:rsidR="00E00FF1" w:rsidRDefault="00E00FF1" w:rsidP="00E00FF1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Krajského úřadu Olomouckého kraje</w:t>
      </w:r>
    </w:p>
    <w:p w14:paraId="5B346E08" w14:textId="056E176E" w:rsidR="00F42473" w:rsidRDefault="00F42473" w:rsidP="00E00FF1">
      <w:pPr>
        <w:ind w:left="3540"/>
        <w:rPr>
          <w:rFonts w:ascii="Arial" w:hAnsi="Arial" w:cs="Arial"/>
        </w:rPr>
      </w:pPr>
    </w:p>
    <w:p w14:paraId="6B85875D" w14:textId="7CA6E1A9" w:rsidR="00F42473" w:rsidRDefault="00F42473" w:rsidP="00E00FF1">
      <w:pPr>
        <w:ind w:left="3540"/>
        <w:rPr>
          <w:rFonts w:ascii="Arial" w:hAnsi="Arial" w:cs="Arial"/>
        </w:rPr>
      </w:pPr>
    </w:p>
    <w:p w14:paraId="292BF95F" w14:textId="170A776C" w:rsidR="00F42473" w:rsidRDefault="00F42473" w:rsidP="00E00FF1">
      <w:pPr>
        <w:ind w:left="3540"/>
        <w:rPr>
          <w:rFonts w:ascii="Arial" w:hAnsi="Arial" w:cs="Arial"/>
        </w:rPr>
      </w:pPr>
    </w:p>
    <w:p w14:paraId="07942FC6" w14:textId="5AF9619F" w:rsidR="00F42473" w:rsidRDefault="00F42473" w:rsidP="00E00FF1">
      <w:pPr>
        <w:ind w:left="3540"/>
        <w:rPr>
          <w:rFonts w:ascii="Arial" w:hAnsi="Arial" w:cs="Arial"/>
        </w:rPr>
      </w:pPr>
    </w:p>
    <w:p w14:paraId="69406D97" w14:textId="77777777" w:rsidR="006947AD" w:rsidRDefault="006947AD" w:rsidP="006947AD">
      <w:pPr>
        <w:widowControl w:val="0"/>
        <w:rPr>
          <w:rFonts w:ascii="Arial" w:hAnsi="Arial" w:cs="Arial"/>
          <w:b/>
          <w:noProof/>
        </w:rPr>
      </w:pPr>
    </w:p>
    <w:p w14:paraId="437756DA" w14:textId="77777777" w:rsidR="006947AD" w:rsidRDefault="006947AD" w:rsidP="006947AD">
      <w:pPr>
        <w:widowControl w:val="0"/>
        <w:rPr>
          <w:rFonts w:ascii="Arial" w:hAnsi="Arial" w:cs="Arial"/>
          <w:b/>
          <w:noProof/>
        </w:rPr>
      </w:pPr>
    </w:p>
    <w:p w14:paraId="7946C4C9" w14:textId="77777777" w:rsidR="006947AD" w:rsidRDefault="006947AD" w:rsidP="006947AD">
      <w:pPr>
        <w:widowControl w:val="0"/>
        <w:rPr>
          <w:rFonts w:ascii="Arial" w:hAnsi="Arial" w:cs="Arial"/>
          <w:b/>
          <w:noProof/>
        </w:rPr>
      </w:pPr>
    </w:p>
    <w:p w14:paraId="0FE32E65" w14:textId="77777777" w:rsidR="006947AD" w:rsidRDefault="006947AD" w:rsidP="006947AD">
      <w:pPr>
        <w:widowControl w:val="0"/>
        <w:rPr>
          <w:rFonts w:ascii="Arial" w:hAnsi="Arial" w:cs="Arial"/>
          <w:b/>
          <w:noProof/>
        </w:rPr>
      </w:pPr>
    </w:p>
    <w:p w14:paraId="1954CA4A" w14:textId="77777777" w:rsidR="006947AD" w:rsidRDefault="006947AD" w:rsidP="006947AD">
      <w:pPr>
        <w:widowControl w:val="0"/>
        <w:rPr>
          <w:rFonts w:ascii="Arial" w:hAnsi="Arial" w:cs="Arial"/>
          <w:b/>
          <w:noProof/>
        </w:rPr>
      </w:pPr>
    </w:p>
    <w:p w14:paraId="2E1EEF35" w14:textId="77777777" w:rsidR="006947AD" w:rsidRDefault="006947AD" w:rsidP="006947AD">
      <w:pPr>
        <w:widowControl w:val="0"/>
        <w:rPr>
          <w:rFonts w:ascii="Arial" w:hAnsi="Arial" w:cs="Arial"/>
          <w:b/>
          <w:noProof/>
        </w:rPr>
      </w:pPr>
      <w:bookmarkStart w:id="0" w:name="_GoBack"/>
      <w:bookmarkEnd w:id="0"/>
    </w:p>
    <w:p w14:paraId="623E15C4" w14:textId="77777777" w:rsidR="006947AD" w:rsidRDefault="006947AD" w:rsidP="006947AD">
      <w:pPr>
        <w:widowControl w:val="0"/>
        <w:rPr>
          <w:rFonts w:ascii="Arial" w:hAnsi="Arial" w:cs="Arial"/>
          <w:b/>
          <w:noProof/>
        </w:rPr>
      </w:pPr>
    </w:p>
    <w:p w14:paraId="614E6757" w14:textId="77777777" w:rsidR="006947AD" w:rsidRDefault="006947AD" w:rsidP="006947AD">
      <w:pPr>
        <w:widowControl w:val="0"/>
        <w:rPr>
          <w:rFonts w:ascii="Arial" w:hAnsi="Arial" w:cs="Arial"/>
          <w:b/>
          <w:noProof/>
        </w:rPr>
      </w:pPr>
    </w:p>
    <w:p w14:paraId="6D21D077" w14:textId="77777777" w:rsidR="006947AD" w:rsidRDefault="006947AD" w:rsidP="006947AD">
      <w:pPr>
        <w:widowControl w:val="0"/>
        <w:rPr>
          <w:rFonts w:ascii="Arial" w:hAnsi="Arial" w:cs="Arial"/>
          <w:b/>
          <w:noProof/>
        </w:rPr>
      </w:pPr>
    </w:p>
    <w:p w14:paraId="5D9295F0" w14:textId="77777777" w:rsidR="006947AD" w:rsidRDefault="006947AD" w:rsidP="006947AD">
      <w:pPr>
        <w:widowControl w:val="0"/>
        <w:rPr>
          <w:rFonts w:ascii="Arial" w:hAnsi="Arial" w:cs="Arial"/>
          <w:b/>
          <w:noProof/>
        </w:rPr>
      </w:pPr>
    </w:p>
    <w:p w14:paraId="1640E435" w14:textId="77777777" w:rsidR="006947AD" w:rsidRDefault="006947AD" w:rsidP="006947AD">
      <w:pPr>
        <w:widowControl w:val="0"/>
        <w:rPr>
          <w:rFonts w:ascii="Arial" w:hAnsi="Arial" w:cs="Arial"/>
          <w:b/>
          <w:noProof/>
        </w:rPr>
      </w:pPr>
    </w:p>
    <w:p w14:paraId="03102407" w14:textId="77777777" w:rsidR="006947AD" w:rsidRDefault="006947AD" w:rsidP="006947AD">
      <w:pPr>
        <w:widowControl w:val="0"/>
        <w:rPr>
          <w:rFonts w:ascii="Arial" w:hAnsi="Arial" w:cs="Arial"/>
          <w:b/>
          <w:noProof/>
        </w:rPr>
      </w:pPr>
    </w:p>
    <w:p w14:paraId="26934397" w14:textId="77777777" w:rsidR="006947AD" w:rsidRDefault="006947AD" w:rsidP="006947AD">
      <w:pPr>
        <w:widowControl w:val="0"/>
        <w:rPr>
          <w:rFonts w:ascii="Arial" w:hAnsi="Arial" w:cs="Arial"/>
          <w:b/>
          <w:noProof/>
        </w:rPr>
      </w:pPr>
    </w:p>
    <w:p w14:paraId="363299E5" w14:textId="77777777" w:rsidR="006947AD" w:rsidRDefault="006947AD" w:rsidP="006947AD">
      <w:pPr>
        <w:widowControl w:val="0"/>
        <w:rPr>
          <w:rFonts w:ascii="Arial" w:hAnsi="Arial" w:cs="Arial"/>
          <w:b/>
          <w:noProof/>
        </w:rPr>
      </w:pPr>
    </w:p>
    <w:p w14:paraId="09535AD3" w14:textId="77777777" w:rsidR="006947AD" w:rsidRDefault="006947AD" w:rsidP="006947AD">
      <w:pPr>
        <w:widowControl w:val="0"/>
        <w:rPr>
          <w:rFonts w:ascii="Arial" w:hAnsi="Arial" w:cs="Arial"/>
          <w:b/>
          <w:noProof/>
        </w:rPr>
      </w:pPr>
    </w:p>
    <w:p w14:paraId="12E758E2" w14:textId="77777777" w:rsidR="006947AD" w:rsidRDefault="006947AD" w:rsidP="006947AD">
      <w:pPr>
        <w:widowControl w:val="0"/>
        <w:rPr>
          <w:rFonts w:ascii="Arial" w:hAnsi="Arial" w:cs="Arial"/>
          <w:b/>
          <w:noProof/>
        </w:rPr>
      </w:pPr>
    </w:p>
    <w:p w14:paraId="329CA881" w14:textId="77777777" w:rsidR="006947AD" w:rsidRDefault="006947AD" w:rsidP="006947AD">
      <w:pPr>
        <w:widowControl w:val="0"/>
        <w:rPr>
          <w:rFonts w:ascii="Arial" w:hAnsi="Arial" w:cs="Arial"/>
          <w:b/>
          <w:noProof/>
        </w:rPr>
      </w:pPr>
    </w:p>
    <w:p w14:paraId="78783749" w14:textId="77777777" w:rsidR="006947AD" w:rsidRDefault="006947AD" w:rsidP="006947AD">
      <w:pPr>
        <w:widowControl w:val="0"/>
        <w:rPr>
          <w:rFonts w:ascii="Arial" w:hAnsi="Arial" w:cs="Arial"/>
          <w:b/>
          <w:noProof/>
        </w:rPr>
      </w:pPr>
    </w:p>
    <w:p w14:paraId="5F5976E3" w14:textId="77777777" w:rsidR="006947AD" w:rsidRDefault="006947AD" w:rsidP="006947AD">
      <w:pPr>
        <w:widowControl w:val="0"/>
        <w:rPr>
          <w:rFonts w:ascii="Arial" w:hAnsi="Arial" w:cs="Arial"/>
          <w:b/>
          <w:noProof/>
        </w:rPr>
      </w:pPr>
    </w:p>
    <w:p w14:paraId="62ED73D3" w14:textId="7AF15365" w:rsidR="006947AD" w:rsidRPr="00135F84" w:rsidRDefault="00135F84" w:rsidP="006947AD">
      <w:pPr>
        <w:widowControl w:val="0"/>
        <w:rPr>
          <w:rFonts w:ascii="Arial" w:hAnsi="Arial" w:cs="Arial"/>
          <w:noProof/>
        </w:rPr>
      </w:pPr>
      <w:r w:rsidRPr="00135F84">
        <w:rPr>
          <w:rFonts w:ascii="Arial" w:hAnsi="Arial" w:cs="Arial"/>
          <w:noProof/>
        </w:rPr>
        <w:t>Za správnost vygotovení zodpovída: Ing. Simona Kladrobová</w:t>
      </w:r>
    </w:p>
    <w:p w14:paraId="6027BFFF" w14:textId="77777777" w:rsidR="006947AD" w:rsidRDefault="006947AD" w:rsidP="006947AD">
      <w:pPr>
        <w:widowControl w:val="0"/>
        <w:rPr>
          <w:rFonts w:ascii="Arial" w:hAnsi="Arial" w:cs="Arial"/>
          <w:b/>
          <w:noProof/>
        </w:rPr>
      </w:pPr>
    </w:p>
    <w:p w14:paraId="6DA7CE6C" w14:textId="77777777" w:rsidR="006947AD" w:rsidRDefault="006947AD" w:rsidP="006947AD">
      <w:pPr>
        <w:widowControl w:val="0"/>
        <w:rPr>
          <w:rFonts w:ascii="Arial" w:hAnsi="Arial" w:cs="Arial"/>
          <w:b/>
          <w:noProof/>
        </w:rPr>
      </w:pPr>
    </w:p>
    <w:p w14:paraId="2E1DFF60" w14:textId="721D80CA" w:rsidR="006947AD" w:rsidRPr="006947AD" w:rsidRDefault="006947AD" w:rsidP="006947AD">
      <w:pPr>
        <w:widowControl w:val="0"/>
        <w:rPr>
          <w:rFonts w:ascii="Arial" w:hAnsi="Arial" w:cs="Arial"/>
          <w:bCs/>
          <w:noProof/>
        </w:rPr>
      </w:pPr>
      <w:r w:rsidRPr="006947AD">
        <w:rPr>
          <w:rFonts w:ascii="Arial" w:hAnsi="Arial" w:cs="Arial"/>
          <w:bCs/>
          <w:noProof/>
        </w:rPr>
        <w:lastRenderedPageBreak/>
        <w:t>Obdrží:</w:t>
      </w:r>
    </w:p>
    <w:p w14:paraId="70E2B04E" w14:textId="77777777" w:rsidR="006947AD" w:rsidRPr="00D12711" w:rsidRDefault="006947AD" w:rsidP="006947AD">
      <w:pPr>
        <w:widowControl w:val="0"/>
        <w:rPr>
          <w:rFonts w:ascii="Arial" w:hAnsi="Arial" w:cs="Arial"/>
          <w:b/>
          <w:noProof/>
        </w:rPr>
      </w:pPr>
    </w:p>
    <w:p w14:paraId="0C5752B0" w14:textId="77777777" w:rsidR="006947AD" w:rsidRPr="004C2960" w:rsidRDefault="006947AD" w:rsidP="006947AD">
      <w:pPr>
        <w:pStyle w:val="Tabulkatuntext"/>
        <w:spacing w:before="0" w:after="0"/>
        <w:outlineLvl w:val="0"/>
        <w:rPr>
          <w:szCs w:val="24"/>
        </w:rPr>
      </w:pPr>
      <w:r w:rsidRPr="004C2960">
        <w:rPr>
          <w:szCs w:val="24"/>
        </w:rPr>
        <w:t>Oznamovatel</w:t>
      </w:r>
    </w:p>
    <w:p w14:paraId="30E9971F" w14:textId="01D8B828" w:rsidR="006947AD" w:rsidRPr="006947AD" w:rsidRDefault="006947AD" w:rsidP="006947AD">
      <w:pPr>
        <w:pStyle w:val="Obdrznak2text"/>
        <w:tabs>
          <w:tab w:val="clear" w:pos="567"/>
          <w:tab w:val="num" w:pos="540"/>
        </w:tabs>
        <w:spacing w:after="0"/>
        <w:ind w:left="540" w:hanging="360"/>
        <w:rPr>
          <w:szCs w:val="24"/>
        </w:rPr>
      </w:pPr>
      <w:r w:rsidRPr="004C2960">
        <w:rPr>
          <w:szCs w:val="24"/>
        </w:rPr>
        <w:t xml:space="preserve">Ředitelství silnic a dálnic ČR, </w:t>
      </w:r>
      <w:r>
        <w:rPr>
          <w:szCs w:val="24"/>
        </w:rPr>
        <w:t>Na Pankráci 56, 140 00 Praha 4</w:t>
      </w:r>
    </w:p>
    <w:p w14:paraId="4FDAE21C" w14:textId="0F93B73F" w:rsidR="006947AD" w:rsidRPr="004C2960" w:rsidRDefault="006947AD" w:rsidP="006947AD">
      <w:pPr>
        <w:pStyle w:val="Tabulkatuntext"/>
        <w:spacing w:before="180" w:after="0"/>
        <w:outlineLvl w:val="0"/>
        <w:rPr>
          <w:szCs w:val="24"/>
        </w:rPr>
      </w:pPr>
      <w:r w:rsidRPr="004C2960">
        <w:rPr>
          <w:szCs w:val="24"/>
        </w:rPr>
        <w:t>Dotčené územní samosprávné celky</w:t>
      </w:r>
    </w:p>
    <w:p w14:paraId="1B213D04" w14:textId="77777777" w:rsidR="006947AD" w:rsidRPr="004C2960" w:rsidRDefault="006947AD" w:rsidP="006947AD">
      <w:pPr>
        <w:pStyle w:val="Obdrznak2text"/>
        <w:tabs>
          <w:tab w:val="clear" w:pos="567"/>
          <w:tab w:val="num" w:pos="540"/>
        </w:tabs>
        <w:spacing w:after="0"/>
        <w:ind w:left="540" w:hanging="360"/>
        <w:rPr>
          <w:szCs w:val="24"/>
        </w:rPr>
      </w:pPr>
      <w:r w:rsidRPr="004C2960">
        <w:rPr>
          <w:szCs w:val="24"/>
        </w:rPr>
        <w:t>Statutární město Olomouc</w:t>
      </w:r>
    </w:p>
    <w:p w14:paraId="652E8B0F" w14:textId="77777777" w:rsidR="006947AD" w:rsidRPr="004C2960" w:rsidRDefault="006947AD" w:rsidP="006947AD">
      <w:pPr>
        <w:pStyle w:val="Obdrznak2text"/>
        <w:tabs>
          <w:tab w:val="clear" w:pos="567"/>
          <w:tab w:val="num" w:pos="540"/>
        </w:tabs>
        <w:spacing w:after="0"/>
        <w:ind w:left="540" w:hanging="360"/>
        <w:rPr>
          <w:szCs w:val="24"/>
        </w:rPr>
      </w:pPr>
      <w:r w:rsidRPr="004C2960">
        <w:rPr>
          <w:szCs w:val="24"/>
        </w:rPr>
        <w:t>Obec Tovéř</w:t>
      </w:r>
    </w:p>
    <w:p w14:paraId="459998AA" w14:textId="77777777" w:rsidR="006947AD" w:rsidRPr="004C2960" w:rsidRDefault="006947AD" w:rsidP="006947AD">
      <w:pPr>
        <w:pStyle w:val="Obdrznak2text"/>
        <w:tabs>
          <w:tab w:val="clear" w:pos="567"/>
          <w:tab w:val="num" w:pos="540"/>
        </w:tabs>
        <w:spacing w:after="0"/>
        <w:ind w:left="540" w:hanging="360"/>
        <w:rPr>
          <w:szCs w:val="24"/>
        </w:rPr>
      </w:pPr>
      <w:r w:rsidRPr="004C2960">
        <w:rPr>
          <w:szCs w:val="24"/>
        </w:rPr>
        <w:t>Obec Dolany</w:t>
      </w:r>
    </w:p>
    <w:p w14:paraId="30827FE9" w14:textId="6249F2D0" w:rsidR="006947AD" w:rsidRPr="004C2960" w:rsidRDefault="00135F84" w:rsidP="006947AD">
      <w:pPr>
        <w:pStyle w:val="Obdrznak2text"/>
        <w:tabs>
          <w:tab w:val="clear" w:pos="567"/>
          <w:tab w:val="num" w:pos="540"/>
        </w:tabs>
        <w:spacing w:after="0"/>
        <w:ind w:left="540" w:hanging="360"/>
        <w:rPr>
          <w:szCs w:val="24"/>
        </w:rPr>
      </w:pPr>
      <w:r>
        <w:rPr>
          <w:szCs w:val="24"/>
        </w:rPr>
        <w:t>Obec Bělkovice – Lašť</w:t>
      </w:r>
      <w:r w:rsidR="006947AD" w:rsidRPr="004C2960">
        <w:rPr>
          <w:szCs w:val="24"/>
        </w:rPr>
        <w:t>any</w:t>
      </w:r>
    </w:p>
    <w:p w14:paraId="1971D26E" w14:textId="77777777" w:rsidR="006947AD" w:rsidRPr="004C2960" w:rsidRDefault="006947AD" w:rsidP="006947AD">
      <w:pPr>
        <w:pStyle w:val="Obdrznak2text"/>
        <w:tabs>
          <w:tab w:val="clear" w:pos="567"/>
          <w:tab w:val="num" w:pos="540"/>
        </w:tabs>
        <w:spacing w:after="0"/>
        <w:ind w:left="540" w:hanging="360"/>
        <w:rPr>
          <w:szCs w:val="24"/>
        </w:rPr>
      </w:pPr>
      <w:r w:rsidRPr="004C2960">
        <w:rPr>
          <w:szCs w:val="24"/>
        </w:rPr>
        <w:t>Obec Bohuňovice</w:t>
      </w:r>
    </w:p>
    <w:p w14:paraId="3EA2960F" w14:textId="77777777" w:rsidR="006947AD" w:rsidRPr="004C2960" w:rsidRDefault="006947AD" w:rsidP="006947AD">
      <w:pPr>
        <w:pStyle w:val="Obdrznak2text"/>
        <w:tabs>
          <w:tab w:val="clear" w:pos="567"/>
          <w:tab w:val="num" w:pos="540"/>
        </w:tabs>
        <w:spacing w:after="0"/>
        <w:ind w:left="540" w:hanging="360"/>
        <w:rPr>
          <w:szCs w:val="24"/>
        </w:rPr>
      </w:pPr>
      <w:r w:rsidRPr="004C2960">
        <w:rPr>
          <w:szCs w:val="24"/>
        </w:rPr>
        <w:t>Obec Štarnov</w:t>
      </w:r>
    </w:p>
    <w:p w14:paraId="7E639DF4" w14:textId="77777777" w:rsidR="006947AD" w:rsidRPr="004C2960" w:rsidRDefault="006947AD" w:rsidP="006947AD">
      <w:pPr>
        <w:pStyle w:val="Obdrznak2text"/>
        <w:tabs>
          <w:tab w:val="clear" w:pos="567"/>
          <w:tab w:val="num" w:pos="540"/>
        </w:tabs>
        <w:spacing w:after="0"/>
        <w:ind w:left="540" w:hanging="360"/>
        <w:rPr>
          <w:szCs w:val="24"/>
        </w:rPr>
      </w:pPr>
      <w:r w:rsidRPr="004C2960">
        <w:rPr>
          <w:szCs w:val="24"/>
        </w:rPr>
        <w:t>Olomoucký kraj</w:t>
      </w:r>
    </w:p>
    <w:p w14:paraId="4EAF980B" w14:textId="77777777" w:rsidR="006947AD" w:rsidRPr="004C2960" w:rsidRDefault="006947AD" w:rsidP="006947AD">
      <w:pPr>
        <w:pStyle w:val="Tabulkazkladntext"/>
        <w:spacing w:before="0" w:after="0"/>
        <w:rPr>
          <w:szCs w:val="24"/>
        </w:rPr>
      </w:pPr>
    </w:p>
    <w:p w14:paraId="4168C852" w14:textId="77777777" w:rsidR="006947AD" w:rsidRPr="004C2960" w:rsidRDefault="006947AD" w:rsidP="006947AD">
      <w:pPr>
        <w:pStyle w:val="Tabulkatuntext"/>
        <w:spacing w:before="0" w:after="0"/>
        <w:outlineLvl w:val="0"/>
        <w:rPr>
          <w:szCs w:val="24"/>
        </w:rPr>
      </w:pPr>
      <w:r w:rsidRPr="004C2960">
        <w:rPr>
          <w:szCs w:val="24"/>
        </w:rPr>
        <w:t>Dotčené správní úřady</w:t>
      </w:r>
    </w:p>
    <w:p w14:paraId="6BD9C1F6" w14:textId="77777777" w:rsidR="006947AD" w:rsidRPr="004C2960" w:rsidRDefault="006947AD" w:rsidP="006947AD">
      <w:pPr>
        <w:pStyle w:val="Obdrznak2text"/>
        <w:tabs>
          <w:tab w:val="clear" w:pos="567"/>
          <w:tab w:val="num" w:pos="540"/>
        </w:tabs>
        <w:spacing w:after="0"/>
        <w:ind w:left="540" w:hanging="360"/>
        <w:rPr>
          <w:szCs w:val="24"/>
        </w:rPr>
      </w:pPr>
      <w:r w:rsidRPr="004C2960">
        <w:rPr>
          <w:szCs w:val="24"/>
        </w:rPr>
        <w:t>Krajský úřad Olomouckého kraje, Odbor životního prostředí a zemědělství</w:t>
      </w:r>
    </w:p>
    <w:p w14:paraId="1BF2E1D8" w14:textId="77777777" w:rsidR="006947AD" w:rsidRPr="004C2960" w:rsidRDefault="006947AD" w:rsidP="006947AD">
      <w:pPr>
        <w:pStyle w:val="Obdrznak2text"/>
        <w:tabs>
          <w:tab w:val="clear" w:pos="567"/>
          <w:tab w:val="num" w:pos="540"/>
        </w:tabs>
        <w:spacing w:after="0"/>
        <w:ind w:left="540" w:hanging="360"/>
      </w:pPr>
      <w:r w:rsidRPr="004C2960">
        <w:t>Magistrát města Olomouce, Odbor životního prostředí, Hynaisova 10/1, 771 93 Olomouc</w:t>
      </w:r>
    </w:p>
    <w:p w14:paraId="4FCEEF76" w14:textId="77777777" w:rsidR="006947AD" w:rsidRPr="004C2960" w:rsidRDefault="006947AD" w:rsidP="006947AD">
      <w:pPr>
        <w:pStyle w:val="Obdrznak2text"/>
        <w:tabs>
          <w:tab w:val="clear" w:pos="567"/>
          <w:tab w:val="num" w:pos="540"/>
        </w:tabs>
        <w:spacing w:after="0"/>
        <w:ind w:left="540" w:hanging="360"/>
      </w:pPr>
      <w:r w:rsidRPr="004C2960">
        <w:t xml:space="preserve">Městský úřad Šternberk, Odbor životního prostředí, Opavská 1, 785 01 Šternberk </w:t>
      </w:r>
    </w:p>
    <w:p w14:paraId="50C57375" w14:textId="77777777" w:rsidR="006947AD" w:rsidRPr="004C2960" w:rsidRDefault="006947AD" w:rsidP="006947AD">
      <w:pPr>
        <w:pStyle w:val="Obdrznak2text"/>
        <w:tabs>
          <w:tab w:val="clear" w:pos="567"/>
          <w:tab w:val="num" w:pos="540"/>
        </w:tabs>
        <w:spacing w:after="0"/>
        <w:ind w:left="540" w:hanging="360"/>
        <w:rPr>
          <w:szCs w:val="24"/>
        </w:rPr>
      </w:pPr>
      <w:r w:rsidRPr="004C2960">
        <w:t>Krajská hygienická stanice Olomouckého kraje se sídlem v Olomouci, Wolkerova  74/6, 779 11 Olomouc</w:t>
      </w:r>
    </w:p>
    <w:p w14:paraId="41EB376E" w14:textId="77777777" w:rsidR="006947AD" w:rsidRPr="004C2960" w:rsidRDefault="006947AD" w:rsidP="006947AD">
      <w:pPr>
        <w:pStyle w:val="Obdrznak2text"/>
        <w:tabs>
          <w:tab w:val="clear" w:pos="567"/>
          <w:tab w:val="num" w:pos="540"/>
        </w:tabs>
        <w:spacing w:after="0"/>
        <w:ind w:left="540" w:hanging="360"/>
        <w:rPr>
          <w:szCs w:val="24"/>
        </w:rPr>
      </w:pPr>
      <w:r w:rsidRPr="004C2960">
        <w:rPr>
          <w:szCs w:val="24"/>
        </w:rPr>
        <w:t>ČIŽP OI Olomouc, Tovární 41, 772 00 Olomouc</w:t>
      </w:r>
    </w:p>
    <w:p w14:paraId="77BA4E53" w14:textId="77777777" w:rsidR="006947AD" w:rsidRPr="004C2960" w:rsidRDefault="006947AD" w:rsidP="006947AD">
      <w:pPr>
        <w:pStyle w:val="Tabulkazkladntext"/>
        <w:tabs>
          <w:tab w:val="num" w:pos="1080"/>
        </w:tabs>
        <w:spacing w:before="0" w:after="0"/>
        <w:ind w:left="1080" w:hanging="540"/>
        <w:rPr>
          <w:szCs w:val="24"/>
        </w:rPr>
      </w:pPr>
    </w:p>
    <w:p w14:paraId="219D67C7" w14:textId="03D2CF76" w:rsidR="006947AD" w:rsidRPr="004C2960" w:rsidRDefault="006947AD" w:rsidP="006947AD">
      <w:pPr>
        <w:pStyle w:val="Obdrznak2text"/>
        <w:numPr>
          <w:ilvl w:val="0"/>
          <w:numId w:val="0"/>
        </w:numPr>
        <w:spacing w:after="0"/>
        <w:ind w:left="567" w:hanging="567"/>
        <w:rPr>
          <w:b/>
          <w:szCs w:val="24"/>
        </w:rPr>
      </w:pPr>
      <w:r>
        <w:rPr>
          <w:szCs w:val="24"/>
        </w:rPr>
        <w:t>Na vědomí</w:t>
      </w:r>
    </w:p>
    <w:p w14:paraId="2EA2FF15" w14:textId="6D782A0E" w:rsidR="006947AD" w:rsidRDefault="006947AD" w:rsidP="006947AD">
      <w:pPr>
        <w:pStyle w:val="Obdrznak2text"/>
        <w:numPr>
          <w:ilvl w:val="3"/>
          <w:numId w:val="2"/>
        </w:numPr>
        <w:tabs>
          <w:tab w:val="clear" w:pos="2880"/>
          <w:tab w:val="num" w:pos="540"/>
        </w:tabs>
        <w:spacing w:after="0"/>
        <w:ind w:hanging="2700"/>
        <w:rPr>
          <w:szCs w:val="24"/>
        </w:rPr>
      </w:pPr>
      <w:r w:rsidRPr="004C2960">
        <w:rPr>
          <w:szCs w:val="24"/>
        </w:rPr>
        <w:t>HBH Projekt spol. s.r.o., Kabátníkova 5, 602 00 Br</w:t>
      </w:r>
      <w:r>
        <w:rPr>
          <w:szCs w:val="24"/>
        </w:rPr>
        <w:t>no</w:t>
      </w:r>
    </w:p>
    <w:p w14:paraId="243DB950" w14:textId="77777777" w:rsidR="006947AD" w:rsidRDefault="006947AD" w:rsidP="006947AD">
      <w:pPr>
        <w:pStyle w:val="Obdrznak2text"/>
        <w:tabs>
          <w:tab w:val="clear" w:pos="567"/>
          <w:tab w:val="num" w:pos="540"/>
        </w:tabs>
        <w:spacing w:after="0"/>
        <w:ind w:left="540" w:hanging="360"/>
        <w:rPr>
          <w:szCs w:val="24"/>
        </w:rPr>
      </w:pPr>
      <w:r w:rsidRPr="004C2960">
        <w:rPr>
          <w:szCs w:val="24"/>
        </w:rPr>
        <w:t xml:space="preserve">MŽP ČR, </w:t>
      </w:r>
      <w:r>
        <w:rPr>
          <w:szCs w:val="24"/>
        </w:rPr>
        <w:t>O</w:t>
      </w:r>
      <w:r w:rsidRPr="004C2960">
        <w:rPr>
          <w:szCs w:val="24"/>
        </w:rPr>
        <w:t>dbor posuzování vlivů na životní prostředí</w:t>
      </w:r>
      <w:r>
        <w:rPr>
          <w:szCs w:val="24"/>
        </w:rPr>
        <w:t xml:space="preserve"> a integrované prevence</w:t>
      </w:r>
      <w:r w:rsidRPr="004C2960">
        <w:rPr>
          <w:szCs w:val="24"/>
        </w:rPr>
        <w:t>, Vršovická</w:t>
      </w:r>
      <w:r>
        <w:rPr>
          <w:szCs w:val="24"/>
        </w:rPr>
        <w:t xml:space="preserve"> </w:t>
      </w:r>
      <w:r w:rsidRPr="004C2960">
        <w:rPr>
          <w:szCs w:val="24"/>
        </w:rPr>
        <w:t>65,</w:t>
      </w:r>
      <w:r>
        <w:rPr>
          <w:szCs w:val="24"/>
        </w:rPr>
        <w:t xml:space="preserve"> </w:t>
      </w:r>
      <w:r w:rsidRPr="004C2960">
        <w:rPr>
          <w:szCs w:val="24"/>
        </w:rPr>
        <w:t>110 00 Praha 10</w:t>
      </w:r>
    </w:p>
    <w:p w14:paraId="2FB9B1F4" w14:textId="77777777" w:rsidR="006947AD" w:rsidRPr="00B20D7A" w:rsidRDefault="006947AD" w:rsidP="006947AD">
      <w:pPr>
        <w:pStyle w:val="Tabulkatuntext"/>
        <w:rPr>
          <w:color w:val="FF0000"/>
          <w:szCs w:val="24"/>
          <w:highlight w:val="yellow"/>
        </w:rPr>
      </w:pPr>
    </w:p>
    <w:p w14:paraId="2C22EE6C" w14:textId="53218105" w:rsidR="00F42473" w:rsidRDefault="00F42473" w:rsidP="00E00FF1">
      <w:pPr>
        <w:ind w:left="3540"/>
        <w:rPr>
          <w:rFonts w:ascii="Arial" w:hAnsi="Arial" w:cs="Arial"/>
        </w:rPr>
      </w:pPr>
    </w:p>
    <w:p w14:paraId="475F8A36" w14:textId="37461AF3" w:rsidR="00F42473" w:rsidRDefault="00F42473" w:rsidP="00E00FF1">
      <w:pPr>
        <w:ind w:left="3540"/>
        <w:rPr>
          <w:rFonts w:ascii="Arial" w:hAnsi="Arial" w:cs="Arial"/>
        </w:rPr>
      </w:pPr>
    </w:p>
    <w:p w14:paraId="1784B43F" w14:textId="590391CD" w:rsidR="00F42473" w:rsidRDefault="00F42473" w:rsidP="00E00FF1">
      <w:pPr>
        <w:ind w:left="3540"/>
        <w:rPr>
          <w:rFonts w:ascii="Arial" w:hAnsi="Arial" w:cs="Arial"/>
        </w:rPr>
      </w:pPr>
    </w:p>
    <w:p w14:paraId="78FD5929" w14:textId="2A52651E" w:rsidR="00F42473" w:rsidRDefault="00F42473" w:rsidP="00E00FF1">
      <w:pPr>
        <w:ind w:left="3540"/>
        <w:rPr>
          <w:rFonts w:ascii="Arial" w:hAnsi="Arial" w:cs="Arial"/>
        </w:rPr>
      </w:pPr>
    </w:p>
    <w:p w14:paraId="35FE070A" w14:textId="6D60EDFC" w:rsidR="00F42473" w:rsidRDefault="00F42473" w:rsidP="00E00FF1">
      <w:pPr>
        <w:ind w:left="3540"/>
        <w:rPr>
          <w:rFonts w:ascii="Arial" w:hAnsi="Arial" w:cs="Arial"/>
        </w:rPr>
      </w:pPr>
    </w:p>
    <w:p w14:paraId="3A96D735" w14:textId="47CACD11" w:rsidR="00F42473" w:rsidRDefault="00F42473" w:rsidP="00E00FF1">
      <w:pPr>
        <w:ind w:left="3540"/>
        <w:rPr>
          <w:rFonts w:ascii="Arial" w:hAnsi="Arial" w:cs="Arial"/>
        </w:rPr>
      </w:pPr>
    </w:p>
    <w:p w14:paraId="4A29E396" w14:textId="440CC63C" w:rsidR="00F42473" w:rsidRDefault="00F42473" w:rsidP="00E00FF1">
      <w:pPr>
        <w:ind w:left="3540"/>
        <w:rPr>
          <w:rFonts w:ascii="Arial" w:hAnsi="Arial" w:cs="Arial"/>
        </w:rPr>
      </w:pPr>
    </w:p>
    <w:p w14:paraId="391DD658" w14:textId="48B4D30C" w:rsidR="00F42473" w:rsidRDefault="00F42473" w:rsidP="00E00FF1">
      <w:pPr>
        <w:ind w:left="3540"/>
        <w:rPr>
          <w:rFonts w:ascii="Arial" w:hAnsi="Arial" w:cs="Arial"/>
        </w:rPr>
      </w:pPr>
    </w:p>
    <w:p w14:paraId="5C114E79" w14:textId="1EFC4D01" w:rsidR="00F42473" w:rsidRDefault="00F42473" w:rsidP="00E00FF1">
      <w:pPr>
        <w:ind w:left="3540"/>
        <w:rPr>
          <w:rFonts w:ascii="Arial" w:hAnsi="Arial" w:cs="Arial"/>
        </w:rPr>
      </w:pPr>
    </w:p>
    <w:p w14:paraId="5022D90F" w14:textId="63EDE90B" w:rsidR="00F42473" w:rsidRDefault="00F42473" w:rsidP="00E00FF1">
      <w:pPr>
        <w:ind w:left="3540"/>
        <w:rPr>
          <w:rFonts w:ascii="Arial" w:hAnsi="Arial" w:cs="Arial"/>
        </w:rPr>
      </w:pPr>
    </w:p>
    <w:p w14:paraId="3912279C" w14:textId="088652A2" w:rsidR="00F42473" w:rsidRDefault="00F42473" w:rsidP="00E00FF1">
      <w:pPr>
        <w:ind w:left="3540"/>
        <w:rPr>
          <w:rFonts w:ascii="Arial" w:hAnsi="Arial" w:cs="Arial"/>
        </w:rPr>
      </w:pPr>
    </w:p>
    <w:p w14:paraId="241CC4DB" w14:textId="7EB8BB47" w:rsidR="00F42473" w:rsidRDefault="00F42473" w:rsidP="00E00FF1">
      <w:pPr>
        <w:ind w:left="3540"/>
        <w:rPr>
          <w:rFonts w:ascii="Arial" w:hAnsi="Arial" w:cs="Arial"/>
        </w:rPr>
      </w:pPr>
    </w:p>
    <w:p w14:paraId="0FF59C11" w14:textId="5C70E2A9" w:rsidR="00F42473" w:rsidRDefault="00F42473" w:rsidP="00E00FF1">
      <w:pPr>
        <w:ind w:left="3540"/>
        <w:rPr>
          <w:rFonts w:ascii="Arial" w:hAnsi="Arial" w:cs="Arial"/>
        </w:rPr>
      </w:pPr>
    </w:p>
    <w:p w14:paraId="71B446DB" w14:textId="2C0F3B1E" w:rsidR="00F42473" w:rsidRDefault="00F42473" w:rsidP="00E00FF1">
      <w:pPr>
        <w:ind w:left="3540"/>
        <w:rPr>
          <w:rFonts w:ascii="Arial" w:hAnsi="Arial" w:cs="Arial"/>
        </w:rPr>
      </w:pPr>
    </w:p>
    <w:p w14:paraId="5F5BB59A" w14:textId="5C52CEA1" w:rsidR="00F42473" w:rsidRDefault="00F42473" w:rsidP="00E00FF1">
      <w:pPr>
        <w:ind w:left="3540"/>
        <w:rPr>
          <w:rFonts w:ascii="Arial" w:hAnsi="Arial" w:cs="Arial"/>
        </w:rPr>
      </w:pPr>
    </w:p>
    <w:p w14:paraId="6FCDCFBA" w14:textId="45A6F939" w:rsidR="00F42473" w:rsidRDefault="00F42473" w:rsidP="00E00FF1">
      <w:pPr>
        <w:ind w:left="3540"/>
        <w:rPr>
          <w:rFonts w:ascii="Arial" w:hAnsi="Arial" w:cs="Arial"/>
        </w:rPr>
      </w:pPr>
    </w:p>
    <w:p w14:paraId="31B3D3DA" w14:textId="5AD32B5C" w:rsidR="00F42473" w:rsidRDefault="00F42473" w:rsidP="00E00FF1">
      <w:pPr>
        <w:ind w:left="3540"/>
        <w:rPr>
          <w:rFonts w:ascii="Arial" w:hAnsi="Arial" w:cs="Arial"/>
        </w:rPr>
      </w:pPr>
    </w:p>
    <w:p w14:paraId="7233481A" w14:textId="77777777" w:rsidR="00F42473" w:rsidRPr="00E00FF1" w:rsidRDefault="00F42473" w:rsidP="00E00FF1">
      <w:pPr>
        <w:ind w:left="3540"/>
        <w:rPr>
          <w:rFonts w:ascii="Arial" w:hAnsi="Arial" w:cs="Arial"/>
        </w:rPr>
      </w:pPr>
    </w:p>
    <w:sectPr w:rsidR="00F42473" w:rsidRPr="00E00F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0D7F5" w14:textId="77777777" w:rsidR="00585A3E" w:rsidRDefault="00585A3E" w:rsidP="00A04F46">
      <w:r>
        <w:separator/>
      </w:r>
    </w:p>
  </w:endnote>
  <w:endnote w:type="continuationSeparator" w:id="0">
    <w:p w14:paraId="7C4BE782" w14:textId="77777777" w:rsidR="00585A3E" w:rsidRDefault="00585A3E" w:rsidP="00A0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546307"/>
      <w:docPartObj>
        <w:docPartGallery w:val="Page Numbers (Bottom of Page)"/>
        <w:docPartUnique/>
      </w:docPartObj>
    </w:sdtPr>
    <w:sdtEndPr/>
    <w:sdtContent>
      <w:p w14:paraId="404CD2C8" w14:textId="56F8788E" w:rsidR="00A04F46" w:rsidRDefault="00A04F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F84">
          <w:rPr>
            <w:noProof/>
          </w:rPr>
          <w:t>13</w:t>
        </w:r>
        <w:r>
          <w:fldChar w:fldCharType="end"/>
        </w:r>
      </w:p>
    </w:sdtContent>
  </w:sdt>
  <w:p w14:paraId="5E3F24D0" w14:textId="77777777" w:rsidR="00A04F46" w:rsidRDefault="00A04F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5BC53" w14:textId="77777777" w:rsidR="00585A3E" w:rsidRDefault="00585A3E" w:rsidP="00A04F46">
      <w:r>
        <w:separator/>
      </w:r>
    </w:p>
  </w:footnote>
  <w:footnote w:type="continuationSeparator" w:id="0">
    <w:p w14:paraId="173119C4" w14:textId="77777777" w:rsidR="00585A3E" w:rsidRDefault="00585A3E" w:rsidP="00A04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190"/>
    <w:multiLevelType w:val="hybridMultilevel"/>
    <w:tmpl w:val="224C3AF2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0B00"/>
    <w:multiLevelType w:val="hybridMultilevel"/>
    <w:tmpl w:val="4CC0EDB4"/>
    <w:lvl w:ilvl="0" w:tplc="CB4CAF98">
      <w:start w:val="1"/>
      <w:numFmt w:val="bullet"/>
      <w:pStyle w:val="Adresapjemce"/>
      <w:lvlText w:val=""/>
      <w:lvlJc w:val="left"/>
      <w:pPr>
        <w:tabs>
          <w:tab w:val="num" w:pos="1827"/>
        </w:tabs>
        <w:ind w:left="1827" w:hanging="567"/>
      </w:pPr>
      <w:rPr>
        <w:rFonts w:ascii="Symbol" w:hAnsi="Symbol" w:hint="default"/>
        <w:color w:val="auto"/>
      </w:rPr>
    </w:lvl>
    <w:lvl w:ilvl="1" w:tplc="A80AFF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BF"/>
    <w:rsid w:val="000004A9"/>
    <w:rsid w:val="0002478E"/>
    <w:rsid w:val="000A12E2"/>
    <w:rsid w:val="00135F84"/>
    <w:rsid w:val="00160A69"/>
    <w:rsid w:val="001C6BAD"/>
    <w:rsid w:val="00224E44"/>
    <w:rsid w:val="002309AB"/>
    <w:rsid w:val="002379B4"/>
    <w:rsid w:val="00263D02"/>
    <w:rsid w:val="00267EBA"/>
    <w:rsid w:val="002E7148"/>
    <w:rsid w:val="00304EC8"/>
    <w:rsid w:val="00332080"/>
    <w:rsid w:val="00335E13"/>
    <w:rsid w:val="003377F0"/>
    <w:rsid w:val="00352438"/>
    <w:rsid w:val="003665F6"/>
    <w:rsid w:val="003C31F8"/>
    <w:rsid w:val="004313BF"/>
    <w:rsid w:val="00483A73"/>
    <w:rsid w:val="00585A3E"/>
    <w:rsid w:val="00632126"/>
    <w:rsid w:val="006809B4"/>
    <w:rsid w:val="00680EF1"/>
    <w:rsid w:val="006947AD"/>
    <w:rsid w:val="006D605D"/>
    <w:rsid w:val="00700B66"/>
    <w:rsid w:val="00722CFF"/>
    <w:rsid w:val="00757314"/>
    <w:rsid w:val="007674F0"/>
    <w:rsid w:val="00796D2F"/>
    <w:rsid w:val="007B209F"/>
    <w:rsid w:val="0089628A"/>
    <w:rsid w:val="008E72CF"/>
    <w:rsid w:val="00957610"/>
    <w:rsid w:val="009649EF"/>
    <w:rsid w:val="009707C0"/>
    <w:rsid w:val="00991FA9"/>
    <w:rsid w:val="00A04F46"/>
    <w:rsid w:val="00AA6010"/>
    <w:rsid w:val="00B20FA2"/>
    <w:rsid w:val="00C80616"/>
    <w:rsid w:val="00C806F2"/>
    <w:rsid w:val="00C96C13"/>
    <w:rsid w:val="00CE72D0"/>
    <w:rsid w:val="00D94DBC"/>
    <w:rsid w:val="00E00AC0"/>
    <w:rsid w:val="00E00FF1"/>
    <w:rsid w:val="00E07BC1"/>
    <w:rsid w:val="00E108B2"/>
    <w:rsid w:val="00EC1F79"/>
    <w:rsid w:val="00F0314A"/>
    <w:rsid w:val="00F42473"/>
    <w:rsid w:val="00FB7028"/>
    <w:rsid w:val="00FC5D2D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6F0D6B"/>
  <w15:chartTrackingRefBased/>
  <w15:docId w15:val="{85D6E69D-3780-44DC-8C6A-F2DB30B8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3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313BF"/>
    <w:rPr>
      <w:color w:val="0000FF"/>
      <w:u w:val="single"/>
    </w:rPr>
  </w:style>
  <w:style w:type="paragraph" w:customStyle="1" w:styleId="Adresapjemce">
    <w:name w:val="Adresa příjemce"/>
    <w:basedOn w:val="Normln"/>
    <w:rsid w:val="004313BF"/>
    <w:pPr>
      <w:widowControl w:val="0"/>
      <w:numPr>
        <w:numId w:val="1"/>
      </w:numPr>
      <w:spacing w:after="40"/>
      <w:ind w:left="0" w:firstLine="0"/>
    </w:pPr>
  </w:style>
  <w:style w:type="paragraph" w:customStyle="1" w:styleId="Hlavikabezznakuvyizuje">
    <w:name w:val="Hlavička bez_znaku vyřizuje"/>
    <w:basedOn w:val="Normln"/>
    <w:rsid w:val="004313BF"/>
    <w:pPr>
      <w:widowControl w:val="0"/>
      <w:spacing w:after="40"/>
    </w:pPr>
    <w:rPr>
      <w:noProof/>
    </w:rPr>
  </w:style>
  <w:style w:type="paragraph" w:customStyle="1" w:styleId="Hlavikabezznakuadresa">
    <w:name w:val="Hlavička bez_znaku adresa"/>
    <w:basedOn w:val="Normln"/>
    <w:rsid w:val="004313BF"/>
    <w:pPr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Normln"/>
    <w:rsid w:val="004313BF"/>
    <w:pPr>
      <w:widowControl w:val="0"/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Normln"/>
    <w:rsid w:val="004313BF"/>
    <w:pPr>
      <w:jc w:val="center"/>
    </w:pPr>
    <w:rPr>
      <w:b/>
      <w:sz w:val="40"/>
    </w:rPr>
  </w:style>
  <w:style w:type="paragraph" w:customStyle="1" w:styleId="Hlavikabezznakuodbor">
    <w:name w:val="Hlavička bez_znaku odbor"/>
    <w:basedOn w:val="Normln"/>
    <w:rsid w:val="004313BF"/>
    <w:pPr>
      <w:jc w:val="center"/>
    </w:pPr>
    <w:rPr>
      <w:b/>
      <w:sz w:val="32"/>
    </w:rPr>
  </w:style>
  <w:style w:type="paragraph" w:customStyle="1" w:styleId="Hlavikaadresapjemce">
    <w:name w:val="Hlavička adresa příjemce"/>
    <w:basedOn w:val="Normln"/>
    <w:rsid w:val="004313BF"/>
    <w:pPr>
      <w:spacing w:before="20" w:after="20"/>
    </w:pPr>
  </w:style>
  <w:style w:type="paragraph" w:customStyle="1" w:styleId="Hlavikaadresa">
    <w:name w:val="Hlavička adresa"/>
    <w:basedOn w:val="Normln"/>
    <w:rsid w:val="004313BF"/>
    <w:pPr>
      <w:widowControl w:val="0"/>
    </w:pPr>
    <w:rPr>
      <w:sz w:val="18"/>
    </w:rPr>
  </w:style>
  <w:style w:type="paragraph" w:styleId="Zhlav">
    <w:name w:val="header"/>
    <w:basedOn w:val="Normln"/>
    <w:link w:val="ZhlavChar"/>
    <w:uiPriority w:val="99"/>
    <w:unhideWhenUsed/>
    <w:rsid w:val="00A04F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4F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4F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4F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abulkatuntext">
    <w:name w:val="Tabulka tučný text"/>
    <w:basedOn w:val="Normln"/>
    <w:rsid w:val="006947AD"/>
    <w:pPr>
      <w:widowControl w:val="0"/>
      <w:spacing w:before="40" w:after="40"/>
    </w:pPr>
    <w:rPr>
      <w:rFonts w:ascii="Arial" w:hAnsi="Arial"/>
      <w:b/>
    </w:rPr>
  </w:style>
  <w:style w:type="paragraph" w:customStyle="1" w:styleId="Obdrznak2text">
    <w:name w:val="Obdrží znak2 text"/>
    <w:basedOn w:val="Normln"/>
    <w:rsid w:val="006947AD"/>
    <w:pPr>
      <w:widowControl w:val="0"/>
      <w:numPr>
        <w:numId w:val="2"/>
      </w:numPr>
      <w:spacing w:after="40"/>
    </w:pPr>
    <w:rPr>
      <w:rFonts w:ascii="Arial" w:hAnsi="Arial"/>
    </w:rPr>
  </w:style>
  <w:style w:type="paragraph" w:customStyle="1" w:styleId="Tabulkazkladntext">
    <w:name w:val="Tabulka základní text"/>
    <w:basedOn w:val="Normln"/>
    <w:rsid w:val="006947AD"/>
    <w:pPr>
      <w:widowControl w:val="0"/>
      <w:spacing w:before="40" w:after="40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F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F8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.kladrobova@ol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4894</Words>
  <Characters>28875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Kladrobová Simona</dc:creator>
  <cp:keywords/>
  <dc:description/>
  <cp:lastModifiedBy>Kladrobová Simona</cp:lastModifiedBy>
  <cp:revision>3</cp:revision>
  <cp:lastPrinted>2020-11-16T06:27:00Z</cp:lastPrinted>
  <dcterms:created xsi:type="dcterms:W3CDTF">2020-11-16T06:25:00Z</dcterms:created>
  <dcterms:modified xsi:type="dcterms:W3CDTF">2020-11-16T06:27:00Z</dcterms:modified>
</cp:coreProperties>
</file>